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4D41" w14:textId="6F2E4700" w:rsidR="000033AB" w:rsidRPr="00F5500E" w:rsidRDefault="001772D2" w:rsidP="004034B9">
      <w:pPr>
        <w:spacing w:after="120" w:line="276" w:lineRule="auto"/>
        <w:ind w:left="0" w:right="-58" w:firstLine="0"/>
        <w:jc w:val="center"/>
        <w:rPr>
          <w:rFonts w:asciiTheme="minorHAnsi" w:hAnsiTheme="minorHAnsi" w:cstheme="minorHAnsi"/>
          <w:b/>
          <w:u w:val="single"/>
        </w:rPr>
      </w:pPr>
      <w:r w:rsidRPr="00F5500E">
        <w:rPr>
          <w:rFonts w:asciiTheme="minorHAnsi" w:hAnsiTheme="minorHAnsi" w:cstheme="minorHAnsi"/>
          <w:b/>
          <w:u w:val="single"/>
        </w:rPr>
        <w:t xml:space="preserve">ΕΙΔΙΚΟΙ ΟΡΟΙ </w:t>
      </w:r>
    </w:p>
    <w:p w14:paraId="5FBD323E" w14:textId="77777777" w:rsidR="00530137" w:rsidRPr="00530137" w:rsidRDefault="00530137" w:rsidP="00530137">
      <w:pPr>
        <w:spacing w:after="0" w:line="360" w:lineRule="auto"/>
        <w:ind w:left="0" w:firstLine="0"/>
        <w:rPr>
          <w:rFonts w:asciiTheme="minorHAnsi" w:eastAsiaTheme="minorHAnsi" w:hAnsiTheme="minorHAnsi" w:cstheme="minorHAnsi"/>
          <w:b/>
          <w:color w:val="000000" w:themeColor="text1"/>
          <w:lang w:eastAsia="en-US"/>
        </w:rPr>
      </w:pPr>
      <w:r w:rsidRPr="00530137">
        <w:rPr>
          <w:rFonts w:asciiTheme="minorHAnsi" w:eastAsiaTheme="minorHAnsi" w:hAnsiTheme="minorHAnsi" w:cstheme="minorHAnsi"/>
          <w:b/>
          <w:color w:val="000000" w:themeColor="text1"/>
          <w:lang w:eastAsia="en-US"/>
        </w:rPr>
        <w:t xml:space="preserve">Για την </w:t>
      </w:r>
      <w:bookmarkStart w:id="0" w:name="_Hlk27054053"/>
      <w:r w:rsidRPr="00530137">
        <w:rPr>
          <w:rFonts w:asciiTheme="minorHAnsi" w:eastAsiaTheme="minorHAnsi" w:hAnsiTheme="minorHAnsi" w:cstheme="minorHAnsi"/>
          <w:b/>
          <w:color w:val="000000" w:themeColor="text1"/>
          <w:lang w:eastAsia="en-US"/>
        </w:rPr>
        <w:t xml:space="preserve">με απευθείας ανάθεση </w:t>
      </w:r>
      <w:bookmarkStart w:id="1" w:name="_Hlk127792589"/>
      <w:r w:rsidRPr="00530137">
        <w:rPr>
          <w:rFonts w:asciiTheme="minorHAnsi" w:eastAsiaTheme="minorHAnsi" w:hAnsiTheme="minorHAnsi" w:cstheme="minorHAnsi"/>
          <w:b/>
          <w:color w:val="000000" w:themeColor="text1"/>
          <w:lang w:eastAsia="en-US"/>
        </w:rPr>
        <w:t xml:space="preserve">προμήθειας </w:t>
      </w:r>
      <w:bookmarkStart w:id="2" w:name="_Hlk50730879"/>
      <w:r w:rsidRPr="00530137">
        <w:rPr>
          <w:rFonts w:asciiTheme="minorHAnsi" w:eastAsia="Times New Roman" w:hAnsiTheme="minorHAnsi" w:cstheme="minorHAnsi"/>
          <w:b/>
          <w:bCs/>
          <w:color w:val="auto"/>
          <w:bdr w:val="none" w:sz="0" w:space="0" w:color="auto" w:frame="1"/>
        </w:rPr>
        <w:t>ηλεκτρικού θερμοσίφωνα και την παροχή υπηρεσίας εγκατάστασης του</w:t>
      </w:r>
      <w:bookmarkEnd w:id="2"/>
      <w:r w:rsidRPr="00530137">
        <w:rPr>
          <w:rFonts w:asciiTheme="minorHAnsi" w:eastAsiaTheme="minorHAnsi" w:hAnsiTheme="minorHAnsi" w:cstheme="minorHAnsi"/>
          <w:b/>
          <w:color w:val="auto"/>
          <w:lang w:eastAsia="en-US"/>
        </w:rPr>
        <w:t>, για τις ανάγκες των φιλοξενουμένων στη Δομή Φιλοξενίας Ασυνόδευτων Ανηλίκων</w:t>
      </w:r>
      <w:bookmarkEnd w:id="0"/>
      <w:r w:rsidRPr="00530137">
        <w:rPr>
          <w:rFonts w:asciiTheme="minorHAnsi" w:eastAsiaTheme="minorHAnsi" w:hAnsiTheme="minorHAnsi" w:cstheme="minorHAnsi"/>
          <w:b/>
          <w:color w:val="auto"/>
          <w:lang w:eastAsia="en-US"/>
        </w:rPr>
        <w:t xml:space="preserve"> στο Ωραιόκαστρο Θεσσαλονίκης</w:t>
      </w:r>
      <w:bookmarkEnd w:id="1"/>
      <w:r w:rsidRPr="00530137">
        <w:rPr>
          <w:rFonts w:asciiTheme="minorHAnsi" w:eastAsiaTheme="minorHAnsi" w:hAnsiTheme="minorHAnsi" w:cstheme="minorHAnsi"/>
          <w:b/>
          <w:color w:val="auto"/>
          <w:lang w:eastAsia="en-US"/>
        </w:rPr>
        <w:t xml:space="preserve">, προϋπολογιζόμενης δαπάνης </w:t>
      </w:r>
      <w:bookmarkStart w:id="3" w:name="_Hlk128994264"/>
      <w:r w:rsidRPr="00530137">
        <w:rPr>
          <w:rFonts w:asciiTheme="minorHAnsi" w:eastAsiaTheme="minorHAnsi" w:hAnsiTheme="minorHAnsi" w:cstheme="minorHAnsi"/>
          <w:b/>
          <w:color w:val="auto"/>
          <w:lang w:eastAsia="en-US"/>
        </w:rPr>
        <w:t xml:space="preserve">235,00 </w:t>
      </w:r>
      <w:bookmarkEnd w:id="3"/>
      <w:r w:rsidRPr="00530137">
        <w:rPr>
          <w:rFonts w:asciiTheme="minorHAnsi" w:eastAsiaTheme="minorHAnsi" w:hAnsiTheme="minorHAnsi" w:cstheme="minorHAnsi"/>
          <w:b/>
          <w:color w:val="auto"/>
          <w:lang w:eastAsia="en-US"/>
        </w:rPr>
        <w:t xml:space="preserve">ευρώ χωρίς ΦΠΑ και </w:t>
      </w:r>
      <w:bookmarkStart w:id="4" w:name="_Hlk128994273"/>
      <w:r w:rsidRPr="00530137">
        <w:rPr>
          <w:rFonts w:asciiTheme="minorHAnsi" w:eastAsiaTheme="minorHAnsi" w:hAnsiTheme="minorHAnsi" w:cstheme="minorHAnsi"/>
          <w:b/>
          <w:color w:val="auto"/>
          <w:lang w:eastAsia="en-US"/>
        </w:rPr>
        <w:t xml:space="preserve">291,40 </w:t>
      </w:r>
      <w:bookmarkEnd w:id="4"/>
      <w:r w:rsidRPr="00530137">
        <w:rPr>
          <w:rFonts w:asciiTheme="minorHAnsi" w:eastAsiaTheme="minorHAnsi" w:hAnsiTheme="minorHAnsi" w:cstheme="minorHAnsi"/>
          <w:b/>
          <w:color w:val="auto"/>
          <w:lang w:eastAsia="en-US"/>
        </w:rPr>
        <w:t>ευρώ με ΦΠΑ.</w:t>
      </w:r>
    </w:p>
    <w:p w14:paraId="4C9860C3" w14:textId="58EBA570" w:rsidR="004034B9" w:rsidRDefault="004034B9" w:rsidP="00530137">
      <w:pPr>
        <w:shd w:val="clear" w:color="auto" w:fill="FFFFFF"/>
        <w:spacing w:after="0" w:line="360" w:lineRule="auto"/>
        <w:ind w:left="11" w:hanging="11"/>
        <w:textAlignment w:val="baseline"/>
        <w:rPr>
          <w:rFonts w:cstheme="minorHAnsi"/>
          <w:b/>
          <w:color w:val="000000" w:themeColor="text1"/>
        </w:rPr>
      </w:pPr>
      <w:r w:rsidRPr="004034B9">
        <w:rPr>
          <w:rFonts w:cstheme="minorHAnsi"/>
          <w:b/>
          <w:color w:val="000000" w:themeColor="text1"/>
        </w:rPr>
        <w:t>CPV: 39715100-8 Ηλεκτρικοί θερμαντήρες νερού, στιγμιαίας θέρμανσης ή θερμοσυσσώρευσης, 45330000-9 Υδραυλικές εργασίες</w:t>
      </w:r>
    </w:p>
    <w:p w14:paraId="633694B9" w14:textId="77777777" w:rsidR="004034B9" w:rsidRDefault="004034B9" w:rsidP="004034B9">
      <w:pPr>
        <w:shd w:val="clear" w:color="auto" w:fill="FFFFFF"/>
        <w:spacing w:after="0" w:line="276" w:lineRule="auto"/>
        <w:textAlignment w:val="baseline"/>
        <w:rPr>
          <w:rFonts w:cstheme="minorHAnsi"/>
          <w:b/>
          <w:color w:val="000000" w:themeColor="text1"/>
        </w:rPr>
      </w:pPr>
    </w:p>
    <w:p w14:paraId="02B06BEC" w14:textId="73C8575C" w:rsidR="00087B5C" w:rsidRPr="004034B9" w:rsidRDefault="004034B9" w:rsidP="00530137">
      <w:pPr>
        <w:pStyle w:val="a3"/>
        <w:numPr>
          <w:ilvl w:val="0"/>
          <w:numId w:val="20"/>
        </w:numPr>
        <w:shd w:val="clear" w:color="auto" w:fill="FFFFFF"/>
        <w:spacing w:after="0" w:line="360" w:lineRule="auto"/>
        <w:textAlignment w:val="baseline"/>
        <w:rPr>
          <w:rFonts w:eastAsia="Times New Roman" w:cstheme="minorHAnsi"/>
          <w:b/>
        </w:rPr>
      </w:pPr>
      <w:r w:rsidRPr="004034B9">
        <w:rPr>
          <w:rFonts w:eastAsia="Times New Roman" w:cstheme="minorHAnsi"/>
        </w:rPr>
        <w:t>Η ανάθεση πραγματοποιείται στα πλαίσια του έργου «ΜΕΤΟΙΚΟΣ» με κωδικό ΟΠΣ 5163942, στο πλαίσιο του Τομεακού Προγράμματος Ανάπτυξης του Υπουργείου Μετανάστευσης και Ασύλου του ΕΠΑ 2021-2025, η όπως τροποποιηθεί – μετονομασθεί στο μέλλον</w:t>
      </w:r>
      <w:r w:rsidR="00087B5C" w:rsidRPr="004034B9">
        <w:rPr>
          <w:rFonts w:eastAsia="Times New Roman" w:cstheme="minorHAnsi"/>
        </w:rPr>
        <w:t>.</w:t>
      </w:r>
    </w:p>
    <w:p w14:paraId="139B5C7F" w14:textId="24CE8EA0" w:rsidR="00B55FF7" w:rsidRPr="00087B5C" w:rsidRDefault="00B55FF7" w:rsidP="00530137">
      <w:pPr>
        <w:pStyle w:val="a3"/>
        <w:numPr>
          <w:ilvl w:val="0"/>
          <w:numId w:val="20"/>
        </w:numPr>
        <w:shd w:val="clear" w:color="auto" w:fill="FFFFFF"/>
        <w:spacing w:after="0" w:line="360" w:lineRule="auto"/>
        <w:textAlignment w:val="baseline"/>
        <w:rPr>
          <w:rFonts w:eastAsia="Times New Roman" w:cstheme="minorHAnsi"/>
          <w:b/>
        </w:rPr>
      </w:pPr>
      <w:r w:rsidRPr="00087B5C">
        <w:rPr>
          <w:rFonts w:eastAsia="Times New Roman" w:cstheme="minorHAnsi"/>
          <w:b/>
        </w:rPr>
        <w:t>Οι ενδιαφερόμενοι οικονομικοί φορείς μπορούν να καταθέσουν την προσφορά τους προσφέροντας για το σύνολο της ζητούμενης προμήθειας</w:t>
      </w:r>
      <w:r w:rsidR="0094595E">
        <w:rPr>
          <w:rFonts w:eastAsia="Times New Roman" w:cstheme="minorHAnsi"/>
          <w:b/>
        </w:rPr>
        <w:t xml:space="preserve"> και παροχής υπηρεσίας</w:t>
      </w:r>
      <w:r w:rsidRPr="00087B5C">
        <w:rPr>
          <w:rFonts w:eastAsia="Times New Roman" w:cstheme="minorHAnsi"/>
          <w:b/>
        </w:rPr>
        <w:t>.</w:t>
      </w:r>
    </w:p>
    <w:p w14:paraId="4A382956" w14:textId="77777777" w:rsidR="00B55FF7" w:rsidRPr="00B55FF7" w:rsidRDefault="00B55FF7" w:rsidP="00530137">
      <w:pPr>
        <w:pStyle w:val="a3"/>
        <w:numPr>
          <w:ilvl w:val="0"/>
          <w:numId w:val="20"/>
        </w:numPr>
        <w:shd w:val="clear" w:color="auto" w:fill="FFFFFF"/>
        <w:spacing w:after="0" w:line="360" w:lineRule="auto"/>
        <w:textAlignment w:val="baseline"/>
        <w:rPr>
          <w:rFonts w:eastAsia="Times New Roman" w:cstheme="minorHAnsi"/>
          <w:b/>
          <w:bCs/>
          <w:bdr w:val="none" w:sz="0" w:space="0" w:color="auto" w:frame="1"/>
        </w:rPr>
      </w:pPr>
      <w:r w:rsidRPr="00B55FF7">
        <w:rPr>
          <w:rFonts w:eastAsia="Times New Roman" w:cstheme="minorHAnsi"/>
          <w:b/>
          <w:bCs/>
          <w:bdr w:val="none" w:sz="0" w:space="0" w:color="auto" w:frame="1"/>
        </w:rPr>
        <w:t>Προσφορά που υποβάλλεται για μέρος της προμήθειας απορρίπτεται ως απαράδεκτη.</w:t>
      </w:r>
    </w:p>
    <w:p w14:paraId="0294700D" w14:textId="4940DC4F" w:rsidR="00B55FF7" w:rsidRPr="00080572" w:rsidRDefault="00B55FF7" w:rsidP="00530137">
      <w:pPr>
        <w:pStyle w:val="a3"/>
        <w:numPr>
          <w:ilvl w:val="0"/>
          <w:numId w:val="20"/>
        </w:numPr>
        <w:shd w:val="clear" w:color="auto" w:fill="FFFFFF"/>
        <w:spacing w:after="0" w:line="360" w:lineRule="auto"/>
        <w:textAlignment w:val="baseline"/>
        <w:rPr>
          <w:rFonts w:eastAsia="Times New Roman" w:cstheme="minorHAnsi"/>
          <w:b/>
        </w:rPr>
      </w:pPr>
      <w:r w:rsidRPr="00B55FF7">
        <w:rPr>
          <w:rFonts w:eastAsia="Times New Roman" w:cstheme="minorHAnsi"/>
          <w:b/>
        </w:rPr>
        <w:t>Η ανάθεση θα γίνει στον οικονομικό φορέα με την πλέον συμφέρουσα από οικονομική άποψη προσφορά βάση προσφερόμενης τιμής</w:t>
      </w:r>
      <w:r w:rsidR="00B5236C">
        <w:rPr>
          <w:rFonts w:eastAsia="Times New Roman" w:cstheme="minorHAnsi"/>
          <w:b/>
        </w:rPr>
        <w:t xml:space="preserve"> άνευ ΦΠΑ</w:t>
      </w:r>
      <w:r w:rsidRPr="00B55FF7">
        <w:rPr>
          <w:rFonts w:eastAsia="Times New Roman" w:cstheme="minorHAnsi"/>
          <w:b/>
        </w:rPr>
        <w:t>.</w:t>
      </w:r>
    </w:p>
    <w:p w14:paraId="3FC01231" w14:textId="11A52E6F" w:rsidR="00F5500E" w:rsidRPr="004034B9" w:rsidRDefault="00080572" w:rsidP="00530137">
      <w:pPr>
        <w:pStyle w:val="a3"/>
        <w:numPr>
          <w:ilvl w:val="0"/>
          <w:numId w:val="20"/>
        </w:numPr>
        <w:shd w:val="clear" w:color="auto" w:fill="FFFFFF"/>
        <w:spacing w:after="0" w:line="360" w:lineRule="auto"/>
        <w:textAlignment w:val="baseline"/>
        <w:rPr>
          <w:rFonts w:eastAsia="Times New Roman" w:cstheme="minorHAnsi"/>
        </w:rPr>
      </w:pPr>
      <w:r w:rsidRPr="004034B9">
        <w:rPr>
          <w:rFonts w:eastAsia="Times New Roman" w:cstheme="minorHAnsi"/>
        </w:rPr>
        <w:t xml:space="preserve">Εναλλακτικές προσφορές δεν γίνονται δεκτές. </w:t>
      </w:r>
      <w:r w:rsidR="00A90A89" w:rsidRPr="004034B9">
        <w:rPr>
          <w:rFonts w:asciiTheme="minorHAnsi" w:eastAsia="Times New Roman" w:hAnsiTheme="minorHAnsi" w:cstheme="minorHAnsi"/>
        </w:rPr>
        <w:t xml:space="preserve">Σε περίπτωση ισοδύναμων </w:t>
      </w:r>
      <w:r w:rsidR="00A90A89" w:rsidRPr="004034B9">
        <w:rPr>
          <w:rFonts w:eastAsia="Times New Roman" w:cstheme="minorHAnsi"/>
        </w:rPr>
        <w:t>προσφορών η ΑΡΣΙΣ θα προβεί στην κατακύρωση της προμήθειας με βάση τη διάταξη του άρθρου 90 παρ. 1 του ν. 4412/2016.</w:t>
      </w:r>
    </w:p>
    <w:p w14:paraId="2ABE3C9F" w14:textId="1EB04644" w:rsidR="00080572" w:rsidRPr="004034B9" w:rsidRDefault="00080572" w:rsidP="00530137">
      <w:pPr>
        <w:pStyle w:val="a3"/>
        <w:numPr>
          <w:ilvl w:val="0"/>
          <w:numId w:val="20"/>
        </w:numPr>
        <w:shd w:val="clear" w:color="auto" w:fill="FFFFFF"/>
        <w:spacing w:after="0" w:line="360" w:lineRule="auto"/>
        <w:textAlignment w:val="baseline"/>
        <w:rPr>
          <w:rFonts w:eastAsia="Times New Roman" w:cstheme="minorHAnsi"/>
          <w:b/>
        </w:rPr>
      </w:pPr>
      <w:r w:rsidRPr="004034B9">
        <w:rPr>
          <w:rFonts w:eastAsia="Times New Roman" w:cstheme="minorHAnsi"/>
          <w:b/>
        </w:rPr>
        <w:t xml:space="preserve">Η προσφορά ισχύει και δεσμεύει τον ανάδοχο έως τις </w:t>
      </w:r>
      <w:bookmarkStart w:id="5" w:name="_Hlk100918417"/>
      <w:r w:rsidR="0099442C">
        <w:rPr>
          <w:rFonts w:eastAsia="Times New Roman" w:cstheme="minorHAnsi"/>
          <w:b/>
        </w:rPr>
        <w:t>15</w:t>
      </w:r>
      <w:r w:rsidR="0094595E">
        <w:rPr>
          <w:rFonts w:eastAsia="Times New Roman" w:cstheme="minorHAnsi"/>
          <w:b/>
        </w:rPr>
        <w:t>-0</w:t>
      </w:r>
      <w:r w:rsidR="0099442C">
        <w:rPr>
          <w:rFonts w:eastAsia="Times New Roman" w:cstheme="minorHAnsi"/>
          <w:b/>
        </w:rPr>
        <w:t>4</w:t>
      </w:r>
      <w:r w:rsidR="00B5236C" w:rsidRPr="004034B9">
        <w:rPr>
          <w:rFonts w:eastAsia="Times New Roman" w:cstheme="minorHAnsi"/>
          <w:b/>
        </w:rPr>
        <w:t>-202</w:t>
      </w:r>
      <w:bookmarkEnd w:id="5"/>
      <w:r w:rsidR="0094595E">
        <w:rPr>
          <w:rFonts w:eastAsia="Times New Roman" w:cstheme="minorHAnsi"/>
          <w:b/>
        </w:rPr>
        <w:t>3</w:t>
      </w:r>
      <w:r w:rsidRPr="004034B9">
        <w:rPr>
          <w:rFonts w:eastAsia="Times New Roman" w:cstheme="minorHAnsi"/>
          <w:b/>
        </w:rPr>
        <w:t>.</w:t>
      </w:r>
    </w:p>
    <w:p w14:paraId="5F285D6D" w14:textId="79D28B44" w:rsidR="00080572" w:rsidRPr="004034B9" w:rsidRDefault="00080572" w:rsidP="00530137">
      <w:pPr>
        <w:pStyle w:val="a3"/>
        <w:numPr>
          <w:ilvl w:val="0"/>
          <w:numId w:val="20"/>
        </w:numPr>
        <w:shd w:val="clear" w:color="auto" w:fill="FFFFFF"/>
        <w:spacing w:after="0" w:line="360" w:lineRule="auto"/>
        <w:textAlignment w:val="baseline"/>
        <w:rPr>
          <w:rFonts w:eastAsia="Times New Roman" w:cstheme="minorHAnsi"/>
          <w:b/>
        </w:rPr>
      </w:pPr>
      <w:r w:rsidRPr="004034B9">
        <w:rPr>
          <w:rFonts w:eastAsia="Times New Roman" w:cstheme="minorHAnsi"/>
          <w:b/>
        </w:rPr>
        <w:t xml:space="preserve">Η προμήθεια θα πρέπει να έχει ολοκληρωθεί έως </w:t>
      </w:r>
      <w:r w:rsidR="0099442C">
        <w:rPr>
          <w:rFonts w:eastAsia="Times New Roman" w:cstheme="minorHAnsi"/>
          <w:b/>
        </w:rPr>
        <w:t>15</w:t>
      </w:r>
      <w:r w:rsidR="0094595E">
        <w:rPr>
          <w:rFonts w:eastAsia="Times New Roman" w:cstheme="minorHAnsi"/>
          <w:b/>
        </w:rPr>
        <w:t>-0</w:t>
      </w:r>
      <w:r w:rsidR="0099442C">
        <w:rPr>
          <w:rFonts w:eastAsia="Times New Roman" w:cstheme="minorHAnsi"/>
          <w:b/>
        </w:rPr>
        <w:t>4</w:t>
      </w:r>
      <w:r w:rsidR="00087B5C" w:rsidRPr="004034B9">
        <w:rPr>
          <w:rFonts w:eastAsia="Times New Roman" w:cstheme="minorHAnsi"/>
          <w:b/>
        </w:rPr>
        <w:t>-202</w:t>
      </w:r>
      <w:r w:rsidR="0094595E">
        <w:rPr>
          <w:rFonts w:eastAsia="Times New Roman" w:cstheme="minorHAnsi"/>
          <w:b/>
        </w:rPr>
        <w:t>3</w:t>
      </w:r>
      <w:r w:rsidRPr="004034B9">
        <w:rPr>
          <w:rFonts w:eastAsia="Times New Roman" w:cstheme="minorHAnsi"/>
          <w:b/>
        </w:rPr>
        <w:t>.</w:t>
      </w:r>
    </w:p>
    <w:p w14:paraId="50094F48" w14:textId="77777777" w:rsidR="00087B5C" w:rsidRPr="00087B5C" w:rsidRDefault="00087B5C" w:rsidP="00530137">
      <w:pPr>
        <w:numPr>
          <w:ilvl w:val="0"/>
          <w:numId w:val="20"/>
        </w:numPr>
        <w:pBdr>
          <w:top w:val="nil"/>
          <w:left w:val="nil"/>
          <w:bottom w:val="nil"/>
          <w:right w:val="nil"/>
          <w:between w:val="nil"/>
        </w:pBdr>
        <w:spacing w:after="0" w:line="360" w:lineRule="auto"/>
        <w:rPr>
          <w:b/>
        </w:rPr>
      </w:pPr>
      <w:r w:rsidRPr="00087B5C">
        <w:rPr>
          <w:b/>
        </w:rPr>
        <w:t xml:space="preserve">Τα είδη της προμήθειας θα συνοδεύονται από εγγύηση καλής λειτουργίας, σύμφωνα με τις προδιαγραφές του κατασκευαστή τους βάσει της ελληνικής και της ευρωπαϊκής νομοθεσίας, διάρκειας τουλάχιστον 5 ετών για τη δεξαμενή. </w:t>
      </w:r>
    </w:p>
    <w:p w14:paraId="10336E9A" w14:textId="761B634C" w:rsidR="00087B5C" w:rsidRPr="00087B5C" w:rsidRDefault="00087B5C" w:rsidP="00530137">
      <w:pPr>
        <w:numPr>
          <w:ilvl w:val="0"/>
          <w:numId w:val="20"/>
        </w:numPr>
        <w:pBdr>
          <w:top w:val="nil"/>
          <w:left w:val="nil"/>
          <w:bottom w:val="nil"/>
          <w:right w:val="nil"/>
          <w:between w:val="nil"/>
        </w:pBdr>
        <w:spacing w:after="0" w:line="360" w:lineRule="auto"/>
        <w:rPr>
          <w:b/>
        </w:rPr>
      </w:pPr>
      <w:r w:rsidRPr="00087B5C">
        <w:rPr>
          <w:b/>
        </w:rPr>
        <w:t xml:space="preserve">Όλα τα είδη της προμήθειας θα είναι καινούργια </w:t>
      </w:r>
      <w:r>
        <w:rPr>
          <w:b/>
        </w:rPr>
        <w:t>και αμεταχείριστα</w:t>
      </w:r>
      <w:r w:rsidRPr="00087B5C">
        <w:rPr>
          <w:b/>
        </w:rPr>
        <w:t xml:space="preserve"> σε άριστη κατάσταση, κατάλληλα για τη χρήση που προορίζονται και θα πρέπει να πληρούν τις προϋποθέσεις ασφαλούς χρήσης και λειτουργίας, σύμφωνα με τους εθνικούς και ενωσιακούς κανόνες.</w:t>
      </w:r>
      <w:r w:rsidR="007C50D2">
        <w:rPr>
          <w:b/>
        </w:rPr>
        <w:t xml:space="preserve"> Ο προμηθευτής υποχρεούται να χορηγήσει στην αναθέτουσα οργάνωση σχετική βεβαίωση. </w:t>
      </w:r>
    </w:p>
    <w:p w14:paraId="0C8584F7" w14:textId="0993BEDE" w:rsidR="00087B5C" w:rsidRPr="007C50D2" w:rsidRDefault="00087B5C" w:rsidP="00530137">
      <w:pPr>
        <w:numPr>
          <w:ilvl w:val="0"/>
          <w:numId w:val="20"/>
        </w:numPr>
        <w:pBdr>
          <w:top w:val="nil"/>
          <w:left w:val="nil"/>
          <w:bottom w:val="nil"/>
          <w:right w:val="nil"/>
          <w:between w:val="nil"/>
        </w:pBdr>
        <w:spacing w:after="0" w:line="360" w:lineRule="auto"/>
        <w:rPr>
          <w:b/>
        </w:rPr>
      </w:pPr>
      <w:r w:rsidRPr="00087B5C">
        <w:rPr>
          <w:b/>
        </w:rPr>
        <w:t xml:space="preserve">Σε περίπτωση βλάβης  των ειδών της προμήθειας εντός του χρόνου της εγγύησης ο προμηθευτής υποχρεούται να τα επιδιορθώσει και να τα επαναφέρει σε </w:t>
      </w:r>
      <w:r w:rsidRPr="00087B5C">
        <w:rPr>
          <w:b/>
        </w:rPr>
        <w:lastRenderedPageBreak/>
        <w:t xml:space="preserve">κανονική λειτουργία και εφόσον αυτό δεν καταστεί τεχνικά εφικτό υποχρεούται στην αντικατάστασή τους, με είδη αντίστοιχης ποιότητας και χρήση. </w:t>
      </w:r>
    </w:p>
    <w:p w14:paraId="2761D522" w14:textId="16FE9418" w:rsidR="00080572" w:rsidRPr="0008425B" w:rsidRDefault="00080572" w:rsidP="00530137">
      <w:pPr>
        <w:pStyle w:val="a3"/>
        <w:widowControl w:val="0"/>
        <w:numPr>
          <w:ilvl w:val="0"/>
          <w:numId w:val="20"/>
        </w:numPr>
        <w:autoSpaceDE w:val="0"/>
        <w:autoSpaceDN w:val="0"/>
        <w:adjustRightInd w:val="0"/>
        <w:spacing w:after="0" w:line="360" w:lineRule="auto"/>
        <w:ind w:right="-58"/>
        <w:rPr>
          <w:rFonts w:eastAsia="Times New Roman" w:cstheme="minorHAnsi"/>
          <w:bCs/>
        </w:rPr>
      </w:pPr>
      <w:r w:rsidRPr="0008425B">
        <w:rPr>
          <w:rFonts w:cstheme="minorHAnsi"/>
        </w:rPr>
        <w:t xml:space="preserve">Η παράδοση και παραλαβή των ειδών της προμήθειας και των ζητούμενων υπηρεσιών θα γίνει κατόπιν τηλεφωνικής ή ηλεκτρονικής επικοινωνίας της αντίστοιχης </w:t>
      </w:r>
      <w:r>
        <w:rPr>
          <w:rFonts w:cstheme="minorHAnsi"/>
        </w:rPr>
        <w:t>Δομής</w:t>
      </w:r>
      <w:r w:rsidRPr="0008425B">
        <w:rPr>
          <w:rFonts w:cstheme="minorHAnsi"/>
        </w:rPr>
        <w:t xml:space="preserve"> της ΑΡΣΙΣ με τον ανάδοχο, μετά την υπογραφή της ανάθεσης. Η παράδοση και παραλαβή των ειδών της προμήθειας θα γίνεται με έξοδα και μέσ</w:t>
      </w:r>
      <w:r>
        <w:rPr>
          <w:rFonts w:cstheme="minorHAnsi"/>
        </w:rPr>
        <w:t xml:space="preserve">α του αναδόχου στην αντίστοιχη Δομή </w:t>
      </w:r>
      <w:r w:rsidRPr="0008425B">
        <w:rPr>
          <w:rFonts w:cstheme="minorHAnsi"/>
        </w:rPr>
        <w:t xml:space="preserve">της ΑΡΣΙΣ. </w:t>
      </w:r>
    </w:p>
    <w:p w14:paraId="6F3A3298" w14:textId="77777777" w:rsidR="00080572" w:rsidRPr="00080572" w:rsidRDefault="00080572" w:rsidP="00530137">
      <w:pPr>
        <w:pStyle w:val="a3"/>
        <w:numPr>
          <w:ilvl w:val="0"/>
          <w:numId w:val="20"/>
        </w:numPr>
        <w:suppressAutoHyphens/>
        <w:spacing w:after="5" w:line="360" w:lineRule="auto"/>
        <w:ind w:right="-58"/>
        <w:rPr>
          <w:rFonts w:eastAsia="Times New Roman" w:cstheme="minorHAnsi"/>
        </w:rPr>
      </w:pPr>
      <w:r w:rsidRPr="0008425B">
        <w:rPr>
          <w:rFonts w:cstheme="minorHAnsi"/>
          <w:lang w:eastAsia="ar-SA"/>
        </w:rPr>
        <w:t>Η παραλαβή των ειδών της προμήθειας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πρόσκλησης.</w:t>
      </w:r>
    </w:p>
    <w:p w14:paraId="5D25B2D2" w14:textId="1A216D83" w:rsidR="00087B5C" w:rsidRPr="007C50D2" w:rsidRDefault="00080572" w:rsidP="00530137">
      <w:pPr>
        <w:pStyle w:val="a3"/>
        <w:numPr>
          <w:ilvl w:val="0"/>
          <w:numId w:val="20"/>
        </w:numPr>
        <w:suppressAutoHyphens/>
        <w:spacing w:after="200" w:line="360" w:lineRule="auto"/>
        <w:ind w:right="-58"/>
        <w:rPr>
          <w:rFonts w:cstheme="minorHAnsi"/>
          <w:b/>
          <w:bCs/>
          <w:u w:val="single"/>
          <w:lang w:eastAsia="ar-SA"/>
        </w:rPr>
      </w:pPr>
      <w:r w:rsidRPr="007C50D2">
        <w:rPr>
          <w:rFonts w:cstheme="minorHAnsi"/>
          <w:b/>
          <w:bCs/>
          <w:lang w:eastAsia="ar-SA"/>
        </w:rPr>
        <w:t xml:space="preserve">Διεύθυνση δομής: </w:t>
      </w:r>
      <w:r w:rsidR="00AD0A42" w:rsidRPr="00AD0A42">
        <w:rPr>
          <w:rFonts w:cstheme="minorHAnsi"/>
          <w:b/>
          <w:bCs/>
          <w:lang w:eastAsia="ar-SA"/>
        </w:rPr>
        <w:t>Αγ. Δημητρίου 1-3 (Προέκταση Λεωφόρος Δημοκρατίας), ΤΚ 57013 Ωραιόκαστρο Θεσσαλονίκης, Τηλέφωνο: 2310694878</w:t>
      </w:r>
    </w:p>
    <w:p w14:paraId="26B3E8BB" w14:textId="2B3CF8E8" w:rsidR="00080572" w:rsidRPr="00087B5C" w:rsidRDefault="00080572" w:rsidP="00530137">
      <w:pPr>
        <w:pStyle w:val="a3"/>
        <w:numPr>
          <w:ilvl w:val="0"/>
          <w:numId w:val="20"/>
        </w:numPr>
        <w:suppressAutoHyphens/>
        <w:spacing w:after="200" w:line="360" w:lineRule="auto"/>
        <w:ind w:right="-58"/>
        <w:rPr>
          <w:rFonts w:cstheme="minorHAnsi"/>
          <w:u w:val="single"/>
          <w:lang w:eastAsia="ar-SA"/>
        </w:rPr>
      </w:pPr>
      <w:r w:rsidRPr="00087B5C">
        <w:rPr>
          <w:rFonts w:eastAsia="Times New Roman" w:cstheme="minorHAnsi"/>
        </w:rPr>
        <w:t xml:space="preserve">Ο προμηθευτής λαμβάνει γνώση των Ειδικών Όρων της προμήθειας και </w:t>
      </w:r>
      <w:r w:rsidR="00A40EE4" w:rsidRPr="00087B5C">
        <w:rPr>
          <w:rFonts w:eastAsia="Times New Roman" w:cstheme="minorHAnsi"/>
        </w:rPr>
        <w:t>δεσμεύεται</w:t>
      </w:r>
      <w:r w:rsidRPr="00087B5C">
        <w:rPr>
          <w:rFonts w:eastAsia="Times New Roman" w:cstheme="minorHAnsi"/>
        </w:rPr>
        <w:t xml:space="preserve"> ότι θα </w:t>
      </w:r>
      <w:r w:rsidR="00A40EE4" w:rsidRPr="00087B5C">
        <w:rPr>
          <w:rFonts w:eastAsia="Times New Roman" w:cstheme="minorHAnsi"/>
        </w:rPr>
        <w:t>συμμορφώνεται</w:t>
      </w:r>
      <w:r w:rsidRPr="00087B5C">
        <w:rPr>
          <w:rFonts w:eastAsia="Times New Roman" w:cstheme="minorHAnsi"/>
        </w:rPr>
        <w:t xml:space="preserve">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5EF41CFB" w14:textId="6446275B" w:rsidR="00080572" w:rsidRPr="0008425B" w:rsidRDefault="00080572" w:rsidP="00530137">
      <w:pPr>
        <w:pStyle w:val="a3"/>
        <w:widowControl w:val="0"/>
        <w:numPr>
          <w:ilvl w:val="0"/>
          <w:numId w:val="20"/>
        </w:numPr>
        <w:autoSpaceDE w:val="0"/>
        <w:autoSpaceDN w:val="0"/>
        <w:adjustRightInd w:val="0"/>
        <w:spacing w:after="0" w:line="360" w:lineRule="auto"/>
        <w:ind w:right="-58"/>
        <w:rPr>
          <w:rFonts w:eastAsia="Times New Roman" w:cstheme="minorHAnsi"/>
          <w:bCs/>
        </w:rPr>
      </w:pPr>
      <w:r w:rsidRPr="0008425B">
        <w:rPr>
          <w:rFonts w:cstheme="minorHAnsi"/>
        </w:rPr>
        <w:t xml:space="preserve">Η </w:t>
      </w:r>
      <w:r>
        <w:rPr>
          <w:rFonts w:eastAsia="Times New Roman" w:cstheme="minorHAnsi"/>
          <w:bCs/>
        </w:rPr>
        <w:t>ανάθεση</w:t>
      </w:r>
      <w:r w:rsidRPr="0008425B">
        <w:rPr>
          <w:rFonts w:eastAsia="Times New Roman" w:cstheme="minorHAnsi"/>
          <w:bCs/>
        </w:rPr>
        <w:t xml:space="preserve">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14:paraId="3B367065" w14:textId="181DE020" w:rsidR="00080572" w:rsidRDefault="00080572" w:rsidP="00530137">
      <w:pPr>
        <w:pStyle w:val="a3"/>
        <w:numPr>
          <w:ilvl w:val="0"/>
          <w:numId w:val="20"/>
        </w:numPr>
        <w:spacing w:after="120" w:line="360" w:lineRule="auto"/>
        <w:rPr>
          <w:rFonts w:cstheme="minorHAnsi"/>
        </w:rPr>
      </w:pPr>
      <w:r w:rsidRPr="0008425B">
        <w:rPr>
          <w:rFonts w:cstheme="minorHAnsi"/>
        </w:rPr>
        <w:t>Η εκχώρηση τω</w:t>
      </w:r>
      <w:r>
        <w:rPr>
          <w:rFonts w:cstheme="minorHAnsi"/>
        </w:rPr>
        <w:t xml:space="preserve">ν </w:t>
      </w:r>
      <w:r w:rsidRPr="0008425B">
        <w:rPr>
          <w:rFonts w:cstheme="minorHAnsi"/>
        </w:rPr>
        <w:t xml:space="preserve">υποχρεώσεων και των δικαιωμάτων του σε τρίτους ΑΠΑΓΟΡΕΥΕΤΑΙ. </w:t>
      </w:r>
    </w:p>
    <w:p w14:paraId="6315E4A7" w14:textId="534A409F" w:rsidR="00080572" w:rsidRPr="00FD5A21" w:rsidRDefault="00080572" w:rsidP="00530137">
      <w:pPr>
        <w:pStyle w:val="a3"/>
        <w:numPr>
          <w:ilvl w:val="0"/>
          <w:numId w:val="20"/>
        </w:numPr>
        <w:spacing w:after="120" w:line="360" w:lineRule="auto"/>
        <w:rPr>
          <w:rFonts w:cstheme="minorHAnsi"/>
        </w:rPr>
      </w:pPr>
      <w:r>
        <w:t>Η ΑΡΣΙΣ θα καταβάλλει την αξία των ειδών</w:t>
      </w:r>
      <w:r w:rsidR="00775E53">
        <w:t xml:space="preserve"> και των παρεχόμενων υπηρεσιών</w:t>
      </w:r>
      <w:r>
        <w:t xml:space="preserve">, που θα προμηθευτεί στα πλαίσια της παρούσας πρόσκλησης </w:t>
      </w:r>
      <w:r w:rsidRPr="00B72E86">
        <w:rPr>
          <w:b/>
        </w:rPr>
        <w:t xml:space="preserve">εντός </w:t>
      </w:r>
      <w:r w:rsidR="00530137">
        <w:rPr>
          <w:b/>
        </w:rPr>
        <w:t>εξήντα</w:t>
      </w:r>
      <w:r w:rsidRPr="00B72E86">
        <w:rPr>
          <w:b/>
        </w:rPr>
        <w:t xml:space="preserve"> (</w:t>
      </w:r>
      <w:r w:rsidR="00530137">
        <w:rPr>
          <w:b/>
        </w:rPr>
        <w:t>60</w:t>
      </w:r>
      <w:r w:rsidRPr="00B72E86">
        <w:rPr>
          <w:b/>
        </w:rPr>
        <w:t>)</w:t>
      </w:r>
      <w:r w:rsidRPr="00080572">
        <w:rPr>
          <w:b/>
        </w:rPr>
        <w:t xml:space="preserve"> ημερών ύστερα από την παράδοση των ειδών </w:t>
      </w:r>
      <w:r w:rsidR="00775E53">
        <w:rPr>
          <w:b/>
        </w:rPr>
        <w:t xml:space="preserve">και την υπηρεσιών </w:t>
      </w:r>
      <w:r w:rsidRPr="00080572">
        <w:rPr>
          <w:b/>
        </w:rPr>
        <w:t xml:space="preserve">και την έκδοση από τον προμηθευτή των παρακάτω δικαιολογητικών πληρωμής: </w:t>
      </w:r>
    </w:p>
    <w:p w14:paraId="25D4D74C" w14:textId="21251963" w:rsidR="00FD5A21" w:rsidRPr="00FD5A21" w:rsidRDefault="00FD5A21" w:rsidP="00530137">
      <w:pPr>
        <w:pStyle w:val="a3"/>
        <w:spacing w:after="120" w:line="360" w:lineRule="auto"/>
        <w:ind w:firstLine="0"/>
        <w:rPr>
          <w:rFonts w:cstheme="minorHAnsi"/>
        </w:rPr>
      </w:pPr>
      <w:r w:rsidRPr="00FD5A21">
        <w:rPr>
          <w:rFonts w:cstheme="minorHAnsi"/>
        </w:rPr>
        <w:t>•</w:t>
      </w:r>
      <w:r w:rsidRPr="00FD5A21">
        <w:rPr>
          <w:rFonts w:cstheme="minorHAnsi"/>
        </w:rPr>
        <w:tab/>
      </w:r>
      <w:r w:rsidRPr="00FD5A21">
        <w:rPr>
          <w:rFonts w:cstheme="minorHAnsi"/>
          <w:b/>
          <w:bCs/>
        </w:rPr>
        <w:t xml:space="preserve">Τιμολόγιο </w:t>
      </w:r>
      <w:r>
        <w:rPr>
          <w:rFonts w:cstheme="minorHAnsi"/>
          <w:b/>
          <w:bCs/>
        </w:rPr>
        <w:t xml:space="preserve">Δελτίο αποστολής/Τιμολόγιο </w:t>
      </w:r>
      <w:r w:rsidRPr="00FD5A21">
        <w:rPr>
          <w:rFonts w:cstheme="minorHAnsi"/>
          <w:b/>
          <w:bCs/>
        </w:rPr>
        <w:t>Παροχής Υπηρεσιών</w:t>
      </w:r>
      <w:r w:rsidRPr="00FD5A21">
        <w:rPr>
          <w:rFonts w:cstheme="minorHAnsi"/>
        </w:rPr>
        <w:t xml:space="preserve"> , στο οποίο να αναγράφονται η υπηρεσία, η τιμή μονάδας, η συνολική αξία και οι νόμιμες επιβαρύνσεις,</w:t>
      </w:r>
    </w:p>
    <w:p w14:paraId="71544E2E" w14:textId="77777777" w:rsidR="00FD5A21" w:rsidRPr="00FD5A21" w:rsidRDefault="00FD5A21" w:rsidP="00530137">
      <w:pPr>
        <w:pStyle w:val="a3"/>
        <w:spacing w:after="120" w:line="360" w:lineRule="auto"/>
        <w:ind w:firstLine="0"/>
        <w:rPr>
          <w:rFonts w:cstheme="minorHAnsi"/>
        </w:rPr>
      </w:pPr>
      <w:r w:rsidRPr="00FD5A21">
        <w:rPr>
          <w:rFonts w:cstheme="minorHAnsi"/>
        </w:rPr>
        <w:t>•</w:t>
      </w:r>
      <w:r w:rsidRPr="00FD5A21">
        <w:rPr>
          <w:rFonts w:cstheme="minorHAnsi"/>
        </w:rPr>
        <w:tab/>
      </w:r>
      <w:r w:rsidRPr="00FD5A21">
        <w:rPr>
          <w:rFonts w:cstheme="minorHAnsi"/>
          <w:b/>
          <w:bCs/>
        </w:rPr>
        <w:t>Βεβαίωση ασφαλιστικής ενημερότητας, για είσπραξη σε ισχύ η οποία απαιτείται στην ακόλουθη περίπτωση</w:t>
      </w:r>
      <w:r w:rsidRPr="00FD5A21">
        <w:rPr>
          <w:rFonts w:cstheme="minorHAnsi"/>
        </w:rPr>
        <w:t>:</w:t>
      </w:r>
    </w:p>
    <w:p w14:paraId="4A48372B" w14:textId="77777777" w:rsidR="00FD5A21" w:rsidRPr="00FD5A21" w:rsidRDefault="00FD5A21" w:rsidP="00530137">
      <w:pPr>
        <w:pStyle w:val="a3"/>
        <w:spacing w:after="120" w:line="360" w:lineRule="auto"/>
        <w:ind w:firstLine="0"/>
        <w:rPr>
          <w:rFonts w:cstheme="minorHAnsi"/>
        </w:rPr>
      </w:pPr>
      <w:r w:rsidRPr="00FD5A21">
        <w:rPr>
          <w:rFonts w:cstheme="minorHAnsi"/>
        </w:rPr>
        <w:t xml:space="preserve">Για την εξόφληση τίτλων πληρωμής ή την είσπραξη όλων των εκκαθαρισμένων απαιτήσεων των επιχειρήσεων από το Δημόσιο και τους φορείς Γενικής Κυβέρνησης όπως καθορίζονται από την εκάστοτε ισχύουσα νομοθεσία, καθώς και </w:t>
      </w:r>
      <w:r w:rsidRPr="00FD5A21">
        <w:rPr>
          <w:rFonts w:cstheme="minorHAnsi"/>
        </w:rPr>
        <w:lastRenderedPageBreak/>
        <w:t>από αυτούς που ενεργούν πληρωμές με εντολή ή εξουσιοδότησή τους, εφόσον τo ακαθάριστο ποσό του κάθε τίτλου ή της κάθε εκκαθαρισμένης απαίτησης υπερβαίνει τις τρεις χιλιάδες (3.000) ευρώ.</w:t>
      </w:r>
    </w:p>
    <w:p w14:paraId="4F793B38" w14:textId="77777777" w:rsidR="00FD5A21" w:rsidRPr="00FD5A21" w:rsidRDefault="00FD5A21" w:rsidP="00530137">
      <w:pPr>
        <w:pStyle w:val="a3"/>
        <w:spacing w:after="120" w:line="360" w:lineRule="auto"/>
        <w:ind w:firstLine="0"/>
        <w:rPr>
          <w:rFonts w:cstheme="minorHAnsi"/>
        </w:rPr>
      </w:pPr>
      <w:r w:rsidRPr="00FD5A21">
        <w:rPr>
          <w:rFonts w:cstheme="minorHAnsi"/>
        </w:rPr>
        <w:t>•</w:t>
      </w:r>
      <w:r w:rsidRPr="00FD5A21">
        <w:rPr>
          <w:rFonts w:cstheme="minorHAnsi"/>
        </w:rPr>
        <w:tab/>
      </w:r>
      <w:r w:rsidRPr="00FD5A21">
        <w:rPr>
          <w:rFonts w:cstheme="minorHAnsi"/>
          <w:b/>
          <w:bCs/>
        </w:rPr>
        <w:t>Βεβαίωση ασφαλιστικής ενημερότητας ΕΦΚΑ μη μισθωτών για είσπραξη σε ισχύ η οποία απαιτείται στην ακόλουθη περίπτωση</w:t>
      </w:r>
      <w:r w:rsidRPr="00FD5A21">
        <w:rPr>
          <w:rFonts w:cstheme="minorHAnsi"/>
        </w:rPr>
        <w:t>:</w:t>
      </w:r>
    </w:p>
    <w:p w14:paraId="78E1C1EF" w14:textId="77777777" w:rsidR="00FD5A21" w:rsidRPr="00FD5A21" w:rsidRDefault="00FD5A21" w:rsidP="00530137">
      <w:pPr>
        <w:pStyle w:val="a3"/>
        <w:spacing w:after="120" w:line="360" w:lineRule="auto"/>
        <w:ind w:firstLine="0"/>
        <w:rPr>
          <w:rFonts w:cstheme="minorHAnsi"/>
        </w:rPr>
      </w:pPr>
      <w:r w:rsidRPr="00FD5A21">
        <w:rPr>
          <w:rFonts w:cstheme="minorHAnsi"/>
        </w:rPr>
        <w:t>Για την εξόφληση τίτλων πληρωμής ή την είσπραξη όλων των εκκαθαρισμένων απαιτήσεων των επιχειρήσεων από το Δημόσιο και τους φορείς Γενικής Κυβέρνησης όπως καθορίζονται από την εκάστοτε ισχύουσα νομοθεσία, καθώς και από αυτούς που ενεργούν πληρωμές με εντολή ή εξουσιοδότησή τους, εφόσον τo ακαθάριστο ποσό του κάθε τίτλου ή της κάθε εκκαθαρισμένης απαίτησης υπερβαίνει τις τρεις χιλιάδες (3.000) ευρώ.)</w:t>
      </w:r>
    </w:p>
    <w:p w14:paraId="07D9F1ED" w14:textId="77777777" w:rsidR="00FD5A21" w:rsidRPr="00FD5A21" w:rsidRDefault="00FD5A21" w:rsidP="00530137">
      <w:pPr>
        <w:pStyle w:val="a3"/>
        <w:spacing w:after="120" w:line="360" w:lineRule="auto"/>
        <w:ind w:firstLine="0"/>
        <w:rPr>
          <w:rFonts w:cstheme="minorHAnsi"/>
        </w:rPr>
      </w:pPr>
      <w:r w:rsidRPr="00FD5A21">
        <w:rPr>
          <w:rFonts w:cstheme="minorHAnsi"/>
        </w:rPr>
        <w:t>•</w:t>
      </w:r>
      <w:r w:rsidRPr="00FD5A21">
        <w:rPr>
          <w:rFonts w:cstheme="minorHAnsi"/>
        </w:rPr>
        <w:tab/>
      </w:r>
      <w:r w:rsidRPr="00FD5A21">
        <w:rPr>
          <w:rFonts w:cstheme="minorHAnsi"/>
          <w:b/>
          <w:bCs/>
        </w:rPr>
        <w:t>Φορολογική ενημερότητα για είσπραξη σε ισχύ, ή βεβαίωση φορολογικής οφειλής για είσπραξη σε ισχύ</w:t>
      </w:r>
      <w:r w:rsidRPr="00FD5A21">
        <w:rPr>
          <w:rFonts w:cstheme="minorHAnsi"/>
        </w:rPr>
        <w:t xml:space="preserve"> (σε περίπτωση μη απόδοσης των ληξιπρόθεσμων φορολογικών οφειλών). Φορολογική ενημερότητα ή βεβαίωση φορολογικής οφειλής απαιτείται στην ακόλουθη περίπτωση:</w:t>
      </w:r>
    </w:p>
    <w:p w14:paraId="639888BF" w14:textId="4F22CD90" w:rsidR="00FD5A21" w:rsidRPr="00080572" w:rsidRDefault="00FD5A21" w:rsidP="00530137">
      <w:pPr>
        <w:pStyle w:val="a3"/>
        <w:spacing w:after="120" w:line="360" w:lineRule="auto"/>
        <w:ind w:firstLine="0"/>
        <w:rPr>
          <w:rFonts w:cstheme="minorHAnsi"/>
        </w:rPr>
      </w:pPr>
      <w:r w:rsidRPr="00FD5A21">
        <w:rPr>
          <w:rFonts w:cstheme="minorHAnsi"/>
        </w:rPr>
        <w:t>Για την είσπραξη χρημάτων ή την εξόφληση τίτλων πληρωμής από το Δημόσιο Τομέα, όπως αυτός καθορίζεται στην κείμενη νομοθεσία, εφόσον το ακαθάριστο ποσό για κάθε τίτλο πληρωμής υπερβαίνει τα χίλια πεντακόσια ευρώ (1.500€), ανά δικαιούχο. Το αποδεικτικό ενημερότητας προσκομίζεται από τον εισπράττοντα στους διενεργούντες την πληρωμή ή την εξόφληση του τίτλου, κατά την πληρωμή ή την εξόφληση αυτού.</w:t>
      </w:r>
    </w:p>
    <w:p w14:paraId="25499545" w14:textId="77777777" w:rsidR="00080572" w:rsidRPr="0008425B" w:rsidRDefault="00080572" w:rsidP="00530137">
      <w:pPr>
        <w:pStyle w:val="a3"/>
        <w:numPr>
          <w:ilvl w:val="0"/>
          <w:numId w:val="20"/>
        </w:numPr>
        <w:spacing w:after="120" w:line="360" w:lineRule="auto"/>
        <w:rPr>
          <w:rFonts w:cstheme="minorHAnsi"/>
        </w:rPr>
      </w:pPr>
      <w:r w:rsidRPr="0008425B">
        <w:rPr>
          <w:rFonts w:cstheme="minorHAnsi"/>
        </w:rPr>
        <w:t>Τον προμηθευτή βαρύνουν και συμπεριλαμβάνονται στην τιμή της προσφοράς του  οι νόμιμες κρατήσεις όπως αυτές ισχύουν κατά την ημέρα υπογραφής της ανάθεσης.</w:t>
      </w:r>
    </w:p>
    <w:p w14:paraId="02D2A116" w14:textId="1192EE16" w:rsidR="00080572" w:rsidRPr="003B6F4B" w:rsidRDefault="00080572" w:rsidP="00530137">
      <w:pPr>
        <w:pStyle w:val="a3"/>
        <w:numPr>
          <w:ilvl w:val="0"/>
          <w:numId w:val="20"/>
        </w:numPr>
        <w:spacing w:after="120" w:line="360" w:lineRule="auto"/>
        <w:rPr>
          <w:rFonts w:cstheme="minorHAnsi"/>
        </w:rPr>
      </w:pPr>
      <w:r w:rsidRPr="0008425B">
        <w:rPr>
          <w:rFonts w:cstheme="minorHAnsi"/>
        </w:rPr>
        <w:t xml:space="preserve">Οι παραπάνω όροι θεωρούνται δεσμευτικοί, </w:t>
      </w:r>
      <w:r w:rsidRPr="0008425B">
        <w:rPr>
          <w:rFonts w:cstheme="minorHAnsi"/>
          <w:b/>
        </w:rPr>
        <w:t>με ποινή απόρριψης της προσφοράς</w:t>
      </w:r>
      <w:r w:rsidRPr="0008425B">
        <w:rPr>
          <w:rFonts w:cstheme="minorHAnsi"/>
        </w:rPr>
        <w:t xml:space="preserve"> σε περίπτωση μη συμμόρφωσης σε κάποιον από αυτούς.</w:t>
      </w:r>
    </w:p>
    <w:p w14:paraId="1D78BE37" w14:textId="7056F6B9" w:rsidR="00110375" w:rsidRDefault="00110375" w:rsidP="004034B9">
      <w:pPr>
        <w:spacing w:after="120" w:line="276" w:lineRule="auto"/>
        <w:ind w:left="0" w:right="-58" w:firstLine="0"/>
        <w:rPr>
          <w:rFonts w:asciiTheme="minorHAnsi" w:hAnsiTheme="minorHAnsi" w:cstheme="minorHAnsi"/>
        </w:rPr>
      </w:pPr>
    </w:p>
    <w:p w14:paraId="53440041" w14:textId="72CAB0ED" w:rsidR="00B74EE7" w:rsidRDefault="00B74EE7" w:rsidP="004034B9">
      <w:pPr>
        <w:spacing w:after="120" w:line="276" w:lineRule="auto"/>
        <w:ind w:left="0" w:right="-58" w:firstLine="0"/>
        <w:rPr>
          <w:rFonts w:asciiTheme="minorHAnsi" w:hAnsiTheme="minorHAnsi" w:cstheme="minorHAnsi"/>
        </w:rPr>
      </w:pPr>
    </w:p>
    <w:p w14:paraId="64F262D7" w14:textId="41C6BDED" w:rsidR="00B74EE7" w:rsidRDefault="00B74EE7" w:rsidP="004034B9">
      <w:pPr>
        <w:spacing w:after="120" w:line="276" w:lineRule="auto"/>
        <w:ind w:left="0" w:right="-58" w:firstLine="0"/>
        <w:rPr>
          <w:rFonts w:asciiTheme="minorHAnsi" w:hAnsiTheme="minorHAnsi" w:cstheme="minorHAnsi"/>
        </w:rPr>
      </w:pPr>
    </w:p>
    <w:p w14:paraId="0071158D" w14:textId="77777777" w:rsidR="00B74EE7" w:rsidRPr="003B6F4B" w:rsidRDefault="00B74EE7" w:rsidP="004034B9">
      <w:pPr>
        <w:spacing w:after="120" w:line="276" w:lineRule="auto"/>
        <w:ind w:left="0" w:right="-58" w:firstLine="0"/>
        <w:rPr>
          <w:rFonts w:asciiTheme="minorHAnsi" w:hAnsiTheme="minorHAnsi" w:cstheme="minorHAnsi"/>
        </w:rPr>
      </w:pPr>
    </w:p>
    <w:p w14:paraId="29DA311B" w14:textId="77777777" w:rsidR="003B6F4B" w:rsidRDefault="003B6F4B" w:rsidP="004034B9">
      <w:pPr>
        <w:pBdr>
          <w:top w:val="nil"/>
          <w:left w:val="nil"/>
          <w:bottom w:val="nil"/>
          <w:right w:val="nil"/>
          <w:between w:val="nil"/>
        </w:pBdr>
        <w:spacing w:after="0" w:line="276" w:lineRule="auto"/>
        <w:jc w:val="center"/>
      </w:pPr>
    </w:p>
    <w:p w14:paraId="4F845781" w14:textId="77777777" w:rsidR="003B6F4B" w:rsidRDefault="003B6F4B" w:rsidP="004034B9">
      <w:pPr>
        <w:pBdr>
          <w:top w:val="nil"/>
          <w:left w:val="nil"/>
          <w:bottom w:val="nil"/>
          <w:right w:val="nil"/>
          <w:between w:val="nil"/>
        </w:pBdr>
        <w:spacing w:after="0" w:line="276" w:lineRule="auto"/>
        <w:jc w:val="center"/>
      </w:pPr>
    </w:p>
    <w:p w14:paraId="70D0CAD3" w14:textId="48D7DA17" w:rsidR="00AA1F42" w:rsidRPr="00F5500E" w:rsidRDefault="00AA1F42" w:rsidP="004034B9">
      <w:pPr>
        <w:pStyle w:val="a3"/>
        <w:spacing w:after="120" w:line="276" w:lineRule="auto"/>
        <w:ind w:firstLine="0"/>
        <w:rPr>
          <w:rFonts w:ascii="Arial" w:hAnsi="Arial" w:cs="Arial"/>
          <w:sz w:val="20"/>
          <w:szCs w:val="20"/>
        </w:rPr>
      </w:pPr>
    </w:p>
    <w:sectPr w:rsidR="00AA1F42" w:rsidRPr="00F5500E" w:rsidSect="00992D7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9AB0" w14:textId="77777777" w:rsidR="00916265" w:rsidRDefault="00916265" w:rsidP="003B4487">
      <w:pPr>
        <w:spacing w:after="0" w:line="240" w:lineRule="auto"/>
      </w:pPr>
      <w:r>
        <w:separator/>
      </w:r>
    </w:p>
  </w:endnote>
  <w:endnote w:type="continuationSeparator" w:id="0">
    <w:p w14:paraId="6F209BFF" w14:textId="77777777" w:rsidR="00916265" w:rsidRDefault="00916265" w:rsidP="003B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FEE5" w14:textId="77777777" w:rsidR="00916265" w:rsidRDefault="00916265" w:rsidP="003B4487">
      <w:pPr>
        <w:spacing w:after="0" w:line="240" w:lineRule="auto"/>
      </w:pPr>
      <w:r>
        <w:separator/>
      </w:r>
    </w:p>
  </w:footnote>
  <w:footnote w:type="continuationSeparator" w:id="0">
    <w:p w14:paraId="3F2F3D38" w14:textId="77777777" w:rsidR="00916265" w:rsidRDefault="00916265" w:rsidP="003B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FD7" w14:textId="667281A2" w:rsidR="003B4487" w:rsidRPr="003B4487" w:rsidRDefault="00087B5C" w:rsidP="003B4487">
    <w:pPr>
      <w:pStyle w:val="a4"/>
      <w:jc w:val="center"/>
      <w:rPr>
        <w:rFonts w:asciiTheme="minorHAnsi" w:eastAsiaTheme="minorHAnsi" w:hAnsiTheme="minorHAnsi" w:cstheme="minorBidi"/>
        <w:color w:val="auto"/>
        <w:lang w:eastAsia="en-US"/>
      </w:rPr>
    </w:pPr>
    <w:r>
      <w:rPr>
        <w:noProof/>
      </w:rPr>
      <w:drawing>
        <wp:inline distT="0" distB="0" distL="0" distR="0" wp14:anchorId="75DE994E" wp14:editId="77AC42D6">
          <wp:extent cx="4410075" cy="6572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499" t="41398" r="7776" b="40054"/>
                  <a:stretch/>
                </pic:blipFill>
                <pic:spPr bwMode="auto">
                  <a:xfrm>
                    <a:off x="0" y="0"/>
                    <a:ext cx="4410075" cy="657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28"/>
    <w:multiLevelType w:val="hybridMultilevel"/>
    <w:tmpl w:val="21506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F9752CC"/>
    <w:multiLevelType w:val="hybridMultilevel"/>
    <w:tmpl w:val="B2F2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6945BD"/>
    <w:multiLevelType w:val="hybridMultilevel"/>
    <w:tmpl w:val="D1646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9050D8"/>
    <w:multiLevelType w:val="hybridMultilevel"/>
    <w:tmpl w:val="F8E40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B5A0EE1"/>
    <w:multiLevelType w:val="hybridMultilevel"/>
    <w:tmpl w:val="E3DC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D93BA3"/>
    <w:multiLevelType w:val="hybridMultilevel"/>
    <w:tmpl w:val="41BC1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BD7965"/>
    <w:multiLevelType w:val="hybridMultilevel"/>
    <w:tmpl w:val="CB10B2F8"/>
    <w:lvl w:ilvl="0" w:tplc="63DC8DE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2736F5"/>
    <w:multiLevelType w:val="hybridMultilevel"/>
    <w:tmpl w:val="0976431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C8F19C9"/>
    <w:multiLevelType w:val="hybridMultilevel"/>
    <w:tmpl w:val="CCDE0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91709E"/>
    <w:multiLevelType w:val="hybridMultilevel"/>
    <w:tmpl w:val="431AAD8E"/>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393386"/>
    <w:multiLevelType w:val="hybridMultilevel"/>
    <w:tmpl w:val="0E84462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C63048"/>
    <w:multiLevelType w:val="hybridMultilevel"/>
    <w:tmpl w:val="D28C034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15:restartNumberingAfterBreak="0">
    <w:nsid w:val="3D952D7D"/>
    <w:multiLevelType w:val="multilevel"/>
    <w:tmpl w:val="95DCA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DBF07A9"/>
    <w:multiLevelType w:val="multilevel"/>
    <w:tmpl w:val="31EA472A"/>
    <w:lvl w:ilvl="0">
      <w:start w:val="1"/>
      <w:numFmt w:val="decimal"/>
      <w:lvlText w:val="%1."/>
      <w:lvlJc w:val="left"/>
      <w:pPr>
        <w:ind w:left="360" w:hanging="360"/>
      </w:pPr>
      <w:rPr>
        <w:b w:val="0"/>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6" w15:restartNumberingAfterBreak="0">
    <w:nsid w:val="42877E0F"/>
    <w:multiLevelType w:val="hybridMultilevel"/>
    <w:tmpl w:val="CBD41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30765F"/>
    <w:multiLevelType w:val="hybridMultilevel"/>
    <w:tmpl w:val="FB545F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536495"/>
    <w:multiLevelType w:val="multilevel"/>
    <w:tmpl w:val="EB5CA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80E6652"/>
    <w:multiLevelType w:val="hybridMultilevel"/>
    <w:tmpl w:val="6E9A9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B6047BA"/>
    <w:multiLevelType w:val="hybridMultilevel"/>
    <w:tmpl w:val="13202B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0DF2920"/>
    <w:multiLevelType w:val="hybridMultilevel"/>
    <w:tmpl w:val="C6367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AF3D14"/>
    <w:multiLevelType w:val="hybridMultilevel"/>
    <w:tmpl w:val="BF269E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7380F54"/>
    <w:multiLevelType w:val="hybridMultilevel"/>
    <w:tmpl w:val="7BD2C8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8367563"/>
    <w:multiLevelType w:val="hybridMultilevel"/>
    <w:tmpl w:val="51661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BF11906"/>
    <w:multiLevelType w:val="hybridMultilevel"/>
    <w:tmpl w:val="55FAE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9766514">
    <w:abstractNumId w:val="6"/>
  </w:num>
  <w:num w:numId="2" w16cid:durableId="727415715">
    <w:abstractNumId w:val="7"/>
  </w:num>
  <w:num w:numId="3" w16cid:durableId="224688318">
    <w:abstractNumId w:val="3"/>
  </w:num>
  <w:num w:numId="4" w16cid:durableId="486750428">
    <w:abstractNumId w:val="2"/>
  </w:num>
  <w:num w:numId="5" w16cid:durableId="368189713">
    <w:abstractNumId w:val="23"/>
  </w:num>
  <w:num w:numId="6" w16cid:durableId="463541312">
    <w:abstractNumId w:val="4"/>
  </w:num>
  <w:num w:numId="7" w16cid:durableId="1586761936">
    <w:abstractNumId w:val="21"/>
  </w:num>
  <w:num w:numId="8" w16cid:durableId="1279752718">
    <w:abstractNumId w:val="12"/>
  </w:num>
  <w:num w:numId="9" w16cid:durableId="1390692615">
    <w:abstractNumId w:val="8"/>
  </w:num>
  <w:num w:numId="10" w16cid:durableId="1257984918">
    <w:abstractNumId w:val="16"/>
  </w:num>
  <w:num w:numId="11" w16cid:durableId="763917142">
    <w:abstractNumId w:val="10"/>
  </w:num>
  <w:num w:numId="12" w16cid:durableId="729428106">
    <w:abstractNumId w:val="19"/>
  </w:num>
  <w:num w:numId="13" w16cid:durableId="2000039278">
    <w:abstractNumId w:val="25"/>
  </w:num>
  <w:num w:numId="14" w16cid:durableId="1979065381">
    <w:abstractNumId w:val="24"/>
  </w:num>
  <w:num w:numId="15" w16cid:durableId="227502458">
    <w:abstractNumId w:val="1"/>
  </w:num>
  <w:num w:numId="16" w16cid:durableId="771323364">
    <w:abstractNumId w:val="5"/>
  </w:num>
  <w:num w:numId="17" w16cid:durableId="1410998726">
    <w:abstractNumId w:val="20"/>
  </w:num>
  <w:num w:numId="18" w16cid:durableId="1449155593">
    <w:abstractNumId w:val="13"/>
  </w:num>
  <w:num w:numId="19" w16cid:durableId="1219169671">
    <w:abstractNumId w:val="27"/>
  </w:num>
  <w:num w:numId="20" w16cid:durableId="951285457">
    <w:abstractNumId w:val="22"/>
  </w:num>
  <w:num w:numId="21" w16cid:durableId="114368380">
    <w:abstractNumId w:val="11"/>
  </w:num>
  <w:num w:numId="22" w16cid:durableId="1078788502">
    <w:abstractNumId w:val="17"/>
  </w:num>
  <w:num w:numId="23" w16cid:durableId="1361319209">
    <w:abstractNumId w:val="15"/>
  </w:num>
  <w:num w:numId="24" w16cid:durableId="1561595923">
    <w:abstractNumId w:val="9"/>
  </w:num>
  <w:num w:numId="25" w16cid:durableId="517692700">
    <w:abstractNumId w:val="18"/>
  </w:num>
  <w:num w:numId="26" w16cid:durableId="1147085405">
    <w:abstractNumId w:val="14"/>
  </w:num>
  <w:num w:numId="27" w16cid:durableId="1713384012">
    <w:abstractNumId w:val="0"/>
  </w:num>
  <w:num w:numId="28" w16cid:durableId="989944420">
    <w:abstractNumId w:val="26"/>
  </w:num>
  <w:num w:numId="29" w16cid:durableId="1485470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F6"/>
    <w:rsid w:val="000033AB"/>
    <w:rsid w:val="00034034"/>
    <w:rsid w:val="000545C3"/>
    <w:rsid w:val="0006100E"/>
    <w:rsid w:val="00080572"/>
    <w:rsid w:val="00087B5C"/>
    <w:rsid w:val="00092E83"/>
    <w:rsid w:val="00096B37"/>
    <w:rsid w:val="000B663C"/>
    <w:rsid w:val="000B6AAD"/>
    <w:rsid w:val="000B7FD7"/>
    <w:rsid w:val="000C29D8"/>
    <w:rsid w:val="000C6FF5"/>
    <w:rsid w:val="000E0182"/>
    <w:rsid w:val="000F6076"/>
    <w:rsid w:val="0010217C"/>
    <w:rsid w:val="0010548C"/>
    <w:rsid w:val="00106B1B"/>
    <w:rsid w:val="00110375"/>
    <w:rsid w:val="00112F7C"/>
    <w:rsid w:val="001615BB"/>
    <w:rsid w:val="0016183B"/>
    <w:rsid w:val="00164DEB"/>
    <w:rsid w:val="0017255E"/>
    <w:rsid w:val="001728FD"/>
    <w:rsid w:val="001772D2"/>
    <w:rsid w:val="001C67EC"/>
    <w:rsid w:val="001E434A"/>
    <w:rsid w:val="001E4CF4"/>
    <w:rsid w:val="002232D2"/>
    <w:rsid w:val="0022719B"/>
    <w:rsid w:val="00231AD3"/>
    <w:rsid w:val="00234C2C"/>
    <w:rsid w:val="002434A1"/>
    <w:rsid w:val="00295915"/>
    <w:rsid w:val="002A680E"/>
    <w:rsid w:val="002E0812"/>
    <w:rsid w:val="002F4541"/>
    <w:rsid w:val="003063C7"/>
    <w:rsid w:val="00313E9D"/>
    <w:rsid w:val="00326F9E"/>
    <w:rsid w:val="0034300D"/>
    <w:rsid w:val="003468F4"/>
    <w:rsid w:val="003A77EB"/>
    <w:rsid w:val="003B4487"/>
    <w:rsid w:val="003B6F4B"/>
    <w:rsid w:val="003D35F7"/>
    <w:rsid w:val="003E1F92"/>
    <w:rsid w:val="003E5DCB"/>
    <w:rsid w:val="003F37EC"/>
    <w:rsid w:val="003F5780"/>
    <w:rsid w:val="004034B9"/>
    <w:rsid w:val="00410870"/>
    <w:rsid w:val="0045073B"/>
    <w:rsid w:val="00463FF6"/>
    <w:rsid w:val="00467695"/>
    <w:rsid w:val="00473845"/>
    <w:rsid w:val="0049276D"/>
    <w:rsid w:val="004B1580"/>
    <w:rsid w:val="004B23FB"/>
    <w:rsid w:val="004C5FB2"/>
    <w:rsid w:val="004C791B"/>
    <w:rsid w:val="004F420B"/>
    <w:rsid w:val="00500DD8"/>
    <w:rsid w:val="00530137"/>
    <w:rsid w:val="005708C2"/>
    <w:rsid w:val="0057183A"/>
    <w:rsid w:val="005902C8"/>
    <w:rsid w:val="005C4338"/>
    <w:rsid w:val="005E668A"/>
    <w:rsid w:val="005F1192"/>
    <w:rsid w:val="006026D0"/>
    <w:rsid w:val="006057BB"/>
    <w:rsid w:val="00614A02"/>
    <w:rsid w:val="006250A4"/>
    <w:rsid w:val="006777D5"/>
    <w:rsid w:val="006936CC"/>
    <w:rsid w:val="00695E78"/>
    <w:rsid w:val="006B7AA2"/>
    <w:rsid w:val="006C497A"/>
    <w:rsid w:val="006E0059"/>
    <w:rsid w:val="0071117D"/>
    <w:rsid w:val="0074724E"/>
    <w:rsid w:val="0075659C"/>
    <w:rsid w:val="0075764A"/>
    <w:rsid w:val="007617D1"/>
    <w:rsid w:val="00761917"/>
    <w:rsid w:val="00775E53"/>
    <w:rsid w:val="00797407"/>
    <w:rsid w:val="007A032C"/>
    <w:rsid w:val="007C50D2"/>
    <w:rsid w:val="007D1D18"/>
    <w:rsid w:val="007E2CF6"/>
    <w:rsid w:val="007F5A35"/>
    <w:rsid w:val="007F733D"/>
    <w:rsid w:val="008045DE"/>
    <w:rsid w:val="00814A4B"/>
    <w:rsid w:val="0083695E"/>
    <w:rsid w:val="00840776"/>
    <w:rsid w:val="00845C06"/>
    <w:rsid w:val="008473D8"/>
    <w:rsid w:val="00873F32"/>
    <w:rsid w:val="008772BD"/>
    <w:rsid w:val="00880E3B"/>
    <w:rsid w:val="00897997"/>
    <w:rsid w:val="008A661D"/>
    <w:rsid w:val="008B182A"/>
    <w:rsid w:val="008B2722"/>
    <w:rsid w:val="008C369E"/>
    <w:rsid w:val="008D07B3"/>
    <w:rsid w:val="00916265"/>
    <w:rsid w:val="00916A67"/>
    <w:rsid w:val="009274BB"/>
    <w:rsid w:val="00940181"/>
    <w:rsid w:val="0094595E"/>
    <w:rsid w:val="00954249"/>
    <w:rsid w:val="00984E31"/>
    <w:rsid w:val="00991A06"/>
    <w:rsid w:val="00992D75"/>
    <w:rsid w:val="0099442C"/>
    <w:rsid w:val="009B04D5"/>
    <w:rsid w:val="009B2388"/>
    <w:rsid w:val="009B2FD5"/>
    <w:rsid w:val="009B4A1C"/>
    <w:rsid w:val="009D5BDF"/>
    <w:rsid w:val="00A07BAE"/>
    <w:rsid w:val="00A1124B"/>
    <w:rsid w:val="00A12E7D"/>
    <w:rsid w:val="00A40EE4"/>
    <w:rsid w:val="00A43D60"/>
    <w:rsid w:val="00A44DE9"/>
    <w:rsid w:val="00A52BA7"/>
    <w:rsid w:val="00A53D8A"/>
    <w:rsid w:val="00A624B1"/>
    <w:rsid w:val="00A87085"/>
    <w:rsid w:val="00A87B77"/>
    <w:rsid w:val="00A90A89"/>
    <w:rsid w:val="00AA0531"/>
    <w:rsid w:val="00AA1F42"/>
    <w:rsid w:val="00AD0A42"/>
    <w:rsid w:val="00AD5A38"/>
    <w:rsid w:val="00AD5E38"/>
    <w:rsid w:val="00AE2767"/>
    <w:rsid w:val="00B026FF"/>
    <w:rsid w:val="00B1170A"/>
    <w:rsid w:val="00B12AEC"/>
    <w:rsid w:val="00B178B4"/>
    <w:rsid w:val="00B21201"/>
    <w:rsid w:val="00B22C01"/>
    <w:rsid w:val="00B43416"/>
    <w:rsid w:val="00B449DA"/>
    <w:rsid w:val="00B44CA8"/>
    <w:rsid w:val="00B50306"/>
    <w:rsid w:val="00B5236C"/>
    <w:rsid w:val="00B55FF7"/>
    <w:rsid w:val="00B72E86"/>
    <w:rsid w:val="00B74E74"/>
    <w:rsid w:val="00B74EE7"/>
    <w:rsid w:val="00B77977"/>
    <w:rsid w:val="00B83F85"/>
    <w:rsid w:val="00BB4848"/>
    <w:rsid w:val="00BC4443"/>
    <w:rsid w:val="00C008F2"/>
    <w:rsid w:val="00C073A3"/>
    <w:rsid w:val="00C1264D"/>
    <w:rsid w:val="00C319BB"/>
    <w:rsid w:val="00C34ACB"/>
    <w:rsid w:val="00C72729"/>
    <w:rsid w:val="00C7282D"/>
    <w:rsid w:val="00C84058"/>
    <w:rsid w:val="00C86F27"/>
    <w:rsid w:val="00CA34A9"/>
    <w:rsid w:val="00CA663B"/>
    <w:rsid w:val="00CA6F12"/>
    <w:rsid w:val="00CB27C2"/>
    <w:rsid w:val="00CC49AD"/>
    <w:rsid w:val="00CD2403"/>
    <w:rsid w:val="00CF2AFC"/>
    <w:rsid w:val="00D0440B"/>
    <w:rsid w:val="00D0462E"/>
    <w:rsid w:val="00D145AB"/>
    <w:rsid w:val="00D16CFD"/>
    <w:rsid w:val="00D21D5A"/>
    <w:rsid w:val="00D233BA"/>
    <w:rsid w:val="00D34CD2"/>
    <w:rsid w:val="00D455CC"/>
    <w:rsid w:val="00D7555D"/>
    <w:rsid w:val="00D7696E"/>
    <w:rsid w:val="00DA01B3"/>
    <w:rsid w:val="00DC19C5"/>
    <w:rsid w:val="00DD42AB"/>
    <w:rsid w:val="00DE189D"/>
    <w:rsid w:val="00DE2914"/>
    <w:rsid w:val="00DE7A4C"/>
    <w:rsid w:val="00DF645C"/>
    <w:rsid w:val="00E07D4D"/>
    <w:rsid w:val="00E21A4E"/>
    <w:rsid w:val="00E25C7F"/>
    <w:rsid w:val="00E441ED"/>
    <w:rsid w:val="00E77864"/>
    <w:rsid w:val="00ED1171"/>
    <w:rsid w:val="00EF0C03"/>
    <w:rsid w:val="00EF0C68"/>
    <w:rsid w:val="00F1131A"/>
    <w:rsid w:val="00F22296"/>
    <w:rsid w:val="00F34DDC"/>
    <w:rsid w:val="00F36F80"/>
    <w:rsid w:val="00F52AAE"/>
    <w:rsid w:val="00F5500E"/>
    <w:rsid w:val="00F65F3A"/>
    <w:rsid w:val="00F728F6"/>
    <w:rsid w:val="00F74E42"/>
    <w:rsid w:val="00FB2502"/>
    <w:rsid w:val="00FD5A21"/>
    <w:rsid w:val="00FF36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99051"/>
  <w15:docId w15:val="{33A1CBA3-C5F1-4F79-B63A-13D529AB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7EC"/>
    <w:pPr>
      <w:spacing w:after="128" w:line="267" w:lineRule="auto"/>
      <w:ind w:left="10" w:hanging="10"/>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su">
    <w:name w:val="irc_su"/>
    <w:basedOn w:val="a0"/>
    <w:rsid w:val="00D21D5A"/>
  </w:style>
  <w:style w:type="paragraph" w:styleId="a3">
    <w:name w:val="List Paragraph"/>
    <w:basedOn w:val="a"/>
    <w:uiPriority w:val="34"/>
    <w:qFormat/>
    <w:rsid w:val="0016183B"/>
    <w:pPr>
      <w:ind w:left="720"/>
      <w:contextualSpacing/>
    </w:pPr>
  </w:style>
  <w:style w:type="paragraph" w:styleId="a4">
    <w:name w:val="header"/>
    <w:basedOn w:val="a"/>
    <w:link w:val="Char"/>
    <w:uiPriority w:val="99"/>
    <w:unhideWhenUsed/>
    <w:rsid w:val="003B4487"/>
    <w:pPr>
      <w:tabs>
        <w:tab w:val="center" w:pos="4153"/>
        <w:tab w:val="right" w:pos="8306"/>
      </w:tabs>
      <w:spacing w:after="0" w:line="240" w:lineRule="auto"/>
    </w:pPr>
  </w:style>
  <w:style w:type="character" w:customStyle="1" w:styleId="Char">
    <w:name w:val="Κεφαλίδα Char"/>
    <w:basedOn w:val="a0"/>
    <w:link w:val="a4"/>
    <w:uiPriority w:val="99"/>
    <w:rsid w:val="003B4487"/>
    <w:rPr>
      <w:rFonts w:ascii="Calibri" w:eastAsia="Calibri" w:hAnsi="Calibri" w:cs="Calibri"/>
      <w:color w:val="000000"/>
      <w:lang w:eastAsia="el-GR"/>
    </w:rPr>
  </w:style>
  <w:style w:type="paragraph" w:styleId="a5">
    <w:name w:val="footer"/>
    <w:basedOn w:val="a"/>
    <w:link w:val="Char0"/>
    <w:uiPriority w:val="99"/>
    <w:unhideWhenUsed/>
    <w:rsid w:val="003B4487"/>
    <w:pPr>
      <w:tabs>
        <w:tab w:val="center" w:pos="4153"/>
        <w:tab w:val="right" w:pos="8306"/>
      </w:tabs>
      <w:spacing w:after="0" w:line="240" w:lineRule="auto"/>
    </w:pPr>
  </w:style>
  <w:style w:type="character" w:customStyle="1" w:styleId="Char0">
    <w:name w:val="Υποσέλιδο Char"/>
    <w:basedOn w:val="a0"/>
    <w:link w:val="a5"/>
    <w:uiPriority w:val="99"/>
    <w:rsid w:val="003B4487"/>
    <w:rPr>
      <w:rFonts w:ascii="Calibri" w:eastAsia="Calibri" w:hAnsi="Calibri" w:cs="Calibri"/>
      <w:color w:val="000000"/>
      <w:lang w:eastAsia="el-GR"/>
    </w:rPr>
  </w:style>
  <w:style w:type="table" w:styleId="a6">
    <w:name w:val="Table Grid"/>
    <w:basedOn w:val="a1"/>
    <w:uiPriority w:val="39"/>
    <w:rsid w:val="00D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CA6F12"/>
    <w:rPr>
      <w:color w:val="0000FF"/>
      <w:u w:val="single"/>
    </w:rPr>
  </w:style>
  <w:style w:type="paragraph" w:styleId="a7">
    <w:name w:val="Balloon Text"/>
    <w:basedOn w:val="a"/>
    <w:link w:val="Char1"/>
    <w:uiPriority w:val="99"/>
    <w:semiHidden/>
    <w:unhideWhenUsed/>
    <w:rsid w:val="006936C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936CC"/>
    <w:rPr>
      <w:rFonts w:ascii="Tahoma" w:eastAsia="Calibri" w:hAnsi="Tahoma" w:cs="Tahoma"/>
      <w:color w:val="000000"/>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BAD3-334C-47AA-869F-04D5AECB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901</Words>
  <Characters>4869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dc:creator>
  <cp:lastModifiedBy>Vicky Bakola</cp:lastModifiedBy>
  <cp:revision>72</cp:revision>
  <dcterms:created xsi:type="dcterms:W3CDTF">2019-12-13T12:33:00Z</dcterms:created>
  <dcterms:modified xsi:type="dcterms:W3CDTF">2023-03-06T12:31:00Z</dcterms:modified>
</cp:coreProperties>
</file>