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3378" w14:textId="77777777" w:rsidR="00353FDB" w:rsidRDefault="00353FDB" w:rsidP="00353FD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Πρόσκληση Εκδήλωσης Ενδιαφέροντος</w:t>
      </w:r>
    </w:p>
    <w:p w14:paraId="1C516DD2" w14:textId="77818DCE" w:rsidR="00353FDB" w:rsidRDefault="00353FDB" w:rsidP="00353FDB">
      <w:pPr>
        <w:jc w:val="center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ΑΠ: ΠΡ 50/22 – 20.04.2022</w:t>
      </w:r>
    </w:p>
    <w:p w14:paraId="7AEEC210" w14:textId="77777777" w:rsidR="00353FDB" w:rsidRPr="00C20CD7" w:rsidRDefault="00353FDB" w:rsidP="00353FDB">
      <w:pPr>
        <w:shd w:val="clear" w:color="auto" w:fill="FFFFFF"/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Πρόσκληση Εκδήλωσης Ενδιαφέροντος</w:t>
      </w:r>
    </w:p>
    <w:p w14:paraId="7480CB3D" w14:textId="584B7074" w:rsidR="00F728D3" w:rsidRDefault="00353FDB" w:rsidP="00353FDB">
      <w:pPr>
        <w:spacing w:line="360" w:lineRule="auto"/>
        <w:jc w:val="both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Για την απευθείας ανάθεση</w:t>
      </w:r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ΓΙΑ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Pr="001D0FD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την προμήθεια</w:t>
      </w:r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υλικων ελαιοχρωματισμου 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για τις ανάγκες </w:t>
      </w:r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Τ</w:t>
      </w:r>
      <w:r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η</w:t>
      </w:r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Σ</w:t>
      </w:r>
      <w:r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«ΑΡΣΙΣ- ΚΟΙΝΩΝΙΚΗ ΟΡΓΑΝΩΣΗ ΥΠΟΣΤΗΡΙΞΗΣ ΝΕΩΝ» στην Αθήνα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, </w:t>
      </w:r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ΣΥΝΟΛΙΚΗΣ 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προϋπολογιζόμενης δαπάνης </w:t>
      </w:r>
      <w:r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180,00 ευρω χωρισ φπα και 223,20 ευρω συμπεριλαμβανομενου φπα.</w:t>
      </w:r>
    </w:p>
    <w:p w14:paraId="6125F92A" w14:textId="425811BF" w:rsidR="00353FDB" w:rsidRDefault="00353FDB" w:rsidP="00353FDB">
      <w:pPr>
        <w:spacing w:line="360" w:lineRule="auto"/>
        <w:jc w:val="both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r w:rsidRPr="00353FD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CPV 44110000-4 - Κατασκευαστικά υλικά</w:t>
      </w:r>
    </w:p>
    <w:p w14:paraId="47ADAD58" w14:textId="5BEA47A0" w:rsidR="00353FDB" w:rsidRDefault="00353FDB" w:rsidP="00353FDB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 ΑΡΣΙΣ ΚΟΙΝΩΝΙΚΗ ΟΡΓΑΝΩΣΗ ΥΠΟΣΤΗΡΙΞΗΣ ΝΕΩΝ</w:t>
      </w:r>
      <w:r w:rsidRPr="002B44BA">
        <w:rPr>
          <w:rFonts w:ascii="Cambria" w:eastAsia="Times New Roman" w:hAnsi="Cambria" w:cs="Arial"/>
          <w:sz w:val="24"/>
          <w:szCs w:val="24"/>
          <w:lang w:eastAsia="el-GR"/>
        </w:rPr>
        <w:t>,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στα πλαίσια </w:t>
      </w:r>
      <w:r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της Δράσης «Επιχορήγηση Ν.Π. ΑΡΣΙΣ ΚΟΙΝΩΝΙΚΗ ΟΡΓΑΝΩΣΗ ΥΠΟΣΤΗΡΙΞΗΣ ΝΕΩΝ για την υλοποίηση του έργου </w:t>
      </w:r>
      <w:r w:rsidRPr="00425FF2">
        <w:rPr>
          <w:rFonts w:ascii="Cambria" w:eastAsia="Times New Roman" w:hAnsi="Cambria" w:cs="Arial"/>
          <w:sz w:val="24"/>
          <w:szCs w:val="24"/>
          <w:lang w:eastAsia="el-GR"/>
        </w:rPr>
        <w:t>ΕSTIA 202</w:t>
      </w:r>
      <w:r>
        <w:rPr>
          <w:rFonts w:ascii="Cambria" w:eastAsia="Times New Roman" w:hAnsi="Cambria" w:cs="Arial"/>
          <w:sz w:val="24"/>
          <w:szCs w:val="24"/>
          <w:lang w:eastAsia="el-GR"/>
        </w:rPr>
        <w:t>2</w:t>
      </w:r>
      <w:r w:rsidRPr="00425FF2">
        <w:rPr>
          <w:rFonts w:ascii="Cambria" w:eastAsia="Times New Roman" w:hAnsi="Cambria" w:cs="Arial"/>
          <w:sz w:val="24"/>
          <w:szCs w:val="24"/>
          <w:lang w:eastAsia="el-GR"/>
        </w:rPr>
        <w:t xml:space="preserve"> (</w:t>
      </w:r>
      <w:r>
        <w:rPr>
          <w:rFonts w:ascii="Cambria" w:eastAsia="Times New Roman" w:hAnsi="Cambria" w:cs="Arial"/>
          <w:sz w:val="24"/>
          <w:szCs w:val="24"/>
          <w:lang w:eastAsia="el-GR"/>
        </w:rPr>
        <w:t xml:space="preserve">ως συνέχεια του προγράμματος </w:t>
      </w:r>
      <w:r>
        <w:rPr>
          <w:rFonts w:ascii="Cambria" w:eastAsia="Times New Roman" w:hAnsi="Cambria" w:cs="Arial"/>
          <w:sz w:val="24"/>
          <w:szCs w:val="24"/>
          <w:lang w:val="en-US" w:eastAsia="el-GR"/>
        </w:rPr>
        <w:t>ESTIA</w:t>
      </w:r>
      <w:r w:rsidRPr="009A57AC">
        <w:rPr>
          <w:rFonts w:ascii="Cambria" w:eastAsia="Times New Roman" w:hAnsi="Cambria" w:cs="Arial"/>
          <w:sz w:val="24"/>
          <w:szCs w:val="24"/>
          <w:lang w:eastAsia="el-GR"/>
        </w:rPr>
        <w:t xml:space="preserve"> 2021 </w:t>
      </w:r>
      <w:r w:rsidRPr="00425FF2">
        <w:rPr>
          <w:rFonts w:ascii="Cambria" w:eastAsia="Times New Roman" w:hAnsi="Cambria" w:cs="Arial"/>
          <w:sz w:val="24"/>
          <w:szCs w:val="24"/>
          <w:lang w:eastAsia="el-GR"/>
        </w:rPr>
        <w:t xml:space="preserve">IMS 5092059), </w:t>
      </w:r>
      <w:r w:rsidRPr="002B44BA">
        <w:rPr>
          <w:rFonts w:ascii="Cambria" w:eastAsia="Times New Roman" w:hAnsi="Cambria" w:cs="Arial"/>
          <w:sz w:val="24"/>
          <w:szCs w:val="24"/>
          <w:lang w:eastAsia="el-GR"/>
        </w:rPr>
        <w:t>από τον Μηχανισμό Έκτακτης Βοήθειας του Ευρωπαϊκού Ταμείου Ασύλου, Μετανάστευσης και Ένταξης</w:t>
      </w:r>
      <w:r>
        <w:rPr>
          <w:rFonts w:ascii="Cambria" w:eastAsia="Times New Roman" w:hAnsi="Cambria" w:cs="Arial"/>
          <w:sz w:val="24"/>
          <w:szCs w:val="24"/>
          <w:lang w:eastAsia="el-GR"/>
        </w:rPr>
        <w:t xml:space="preserve">, αναζητά προμηθευτές για την προμήθεια υλικών ελαιοχρωματισμού </w:t>
      </w:r>
      <w:r w:rsidRPr="00353FDB">
        <w:rPr>
          <w:rFonts w:ascii="Cambria" w:eastAsia="Times New Roman" w:hAnsi="Cambria" w:cs="Arial"/>
          <w:sz w:val="24"/>
          <w:szCs w:val="24"/>
          <w:lang w:eastAsia="el-GR"/>
        </w:rPr>
        <w:t>για τις ανάγκες της της Οργάνωσης στην Αθήνα, προϋπολογιζόμενης δαπάνης</w:t>
      </w:r>
      <w:r>
        <w:rPr>
          <w:rFonts w:ascii="Cambria" w:eastAsia="Times New Roman" w:hAnsi="Cambria" w:cs="Arial"/>
          <w:sz w:val="24"/>
          <w:szCs w:val="24"/>
          <w:lang w:eastAsia="el-GR"/>
        </w:rPr>
        <w:t xml:space="preserve"> 180,00 ευρώ χωρίς ΦΠΑ και 223,20 ευρώ συμπεριλαμβανομένου ΦΠΑ.</w:t>
      </w:r>
    </w:p>
    <w:p w14:paraId="0AC08686" w14:textId="77777777" w:rsidR="00353FDB" w:rsidRPr="00353FDB" w:rsidRDefault="00353FDB" w:rsidP="00353FDB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  <w:lang w:eastAsia="el-GR"/>
        </w:rPr>
      </w:pPr>
      <w:r w:rsidRPr="00353FDB">
        <w:rPr>
          <w:rFonts w:ascii="Cambria" w:eastAsia="Times New Roman" w:hAnsi="Cambria" w:cs="Arial"/>
          <w:sz w:val="24"/>
          <w:szCs w:val="24"/>
          <w:lang w:eastAsia="el-GR"/>
        </w:rPr>
        <w:t xml:space="preserve">Στον ακόλουθο πίνακα αναφέρονται οι τιμές αλλά και οι τεχνικές προδιαγραφές που θα πρέπει να πληρούνται για τα προς προμήθεια αγαθά στην Οργάνωση. </w:t>
      </w:r>
    </w:p>
    <w:tbl>
      <w:tblPr>
        <w:tblW w:w="9979" w:type="dxa"/>
        <w:tblInd w:w="-10" w:type="dxa"/>
        <w:tblLook w:val="04A0" w:firstRow="1" w:lastRow="0" w:firstColumn="1" w:lastColumn="0" w:noHBand="0" w:noVBand="1"/>
      </w:tblPr>
      <w:tblGrid>
        <w:gridCol w:w="3599"/>
        <w:gridCol w:w="1149"/>
        <w:gridCol w:w="1162"/>
        <w:gridCol w:w="1428"/>
        <w:gridCol w:w="1569"/>
        <w:gridCol w:w="1072"/>
      </w:tblGrid>
      <w:tr w:rsidR="00CF525A" w:rsidRPr="00CF525A" w14:paraId="637E4EB6" w14:textId="77777777" w:rsidTr="00545F75">
        <w:trPr>
          <w:trHeight w:val="669"/>
        </w:trPr>
        <w:tc>
          <w:tcPr>
            <w:tcW w:w="3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7320" w14:textId="38FC212F" w:rsidR="00CF525A" w:rsidRPr="00CF525A" w:rsidRDefault="00680C51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Περιγραφή</w:t>
            </w:r>
            <w:r w:rsidR="00CF525A" w:rsidRPr="00CF525A">
              <w:rPr>
                <w:b/>
                <w:bCs/>
              </w:rPr>
              <w:t xml:space="preserve"> </w:t>
            </w:r>
            <w:r w:rsidRPr="00CF525A">
              <w:rPr>
                <w:b/>
                <w:bCs/>
              </w:rPr>
              <w:t>είδους</w:t>
            </w:r>
            <w:r w:rsidR="00CF525A" w:rsidRPr="00CF525A">
              <w:rPr>
                <w:b/>
                <w:bCs/>
              </w:rPr>
              <w:t xml:space="preserve"> 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7D2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Ποσότητα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AAEC" w14:textId="73AB8248" w:rsidR="00CF525A" w:rsidRPr="00CF525A" w:rsidRDefault="00680C51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Τιμή</w:t>
            </w:r>
            <w:r w:rsidR="00CF525A" w:rsidRPr="00CF525A">
              <w:rPr>
                <w:b/>
                <w:bCs/>
              </w:rPr>
              <w:t xml:space="preserve"> μον.</w:t>
            </w:r>
            <w:r>
              <w:rPr>
                <w:b/>
                <w:bCs/>
              </w:rPr>
              <w:t xml:space="preserve"> </w:t>
            </w:r>
            <w:r w:rsidRPr="00CF525A">
              <w:rPr>
                <w:b/>
                <w:bCs/>
              </w:rPr>
              <w:t>χωρίς</w:t>
            </w:r>
            <w:r w:rsidR="00CF525A" w:rsidRPr="00CF525A">
              <w:rPr>
                <w:b/>
                <w:bCs/>
              </w:rPr>
              <w:t xml:space="preserve"> ΦΠΑ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EC15" w14:textId="331EB4B3" w:rsidR="00CF525A" w:rsidRPr="00CF525A" w:rsidRDefault="00680C51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Τιμή</w:t>
            </w:r>
            <w:r w:rsidR="00CF525A" w:rsidRPr="00CF525A">
              <w:rPr>
                <w:b/>
                <w:bCs/>
              </w:rPr>
              <w:t xml:space="preserve"> μον.</w:t>
            </w:r>
            <w:r>
              <w:rPr>
                <w:b/>
                <w:bCs/>
              </w:rPr>
              <w:t xml:space="preserve"> </w:t>
            </w:r>
            <w:r w:rsidR="00CF525A" w:rsidRPr="00CF525A">
              <w:rPr>
                <w:b/>
                <w:bCs/>
              </w:rPr>
              <w:t>με ΦΠΑ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E55B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Συνολική αξία χωρίς ΦΠΑ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B941E" w14:textId="7130F2F5" w:rsidR="00CF525A" w:rsidRPr="00CF525A" w:rsidRDefault="00680C51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Συνολική</w:t>
            </w:r>
            <w:r w:rsidR="00CF525A" w:rsidRPr="00CF525A">
              <w:rPr>
                <w:b/>
                <w:bCs/>
              </w:rPr>
              <w:t xml:space="preserve"> </w:t>
            </w:r>
            <w:r w:rsidRPr="00CF525A">
              <w:rPr>
                <w:b/>
                <w:bCs/>
              </w:rPr>
              <w:t>αξία</w:t>
            </w:r>
            <w:r w:rsidR="00CF525A" w:rsidRPr="00CF525A">
              <w:rPr>
                <w:b/>
                <w:bCs/>
              </w:rPr>
              <w:t xml:space="preserve"> με ΦΠΑ</w:t>
            </w:r>
          </w:p>
        </w:tc>
      </w:tr>
      <w:tr w:rsidR="00CF525A" w:rsidRPr="00CF525A" w14:paraId="655A9319" w14:textId="77777777" w:rsidTr="00545F75">
        <w:trPr>
          <w:trHeight w:val="222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9A38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 xml:space="preserve">Yλικά ελαιοχρωματισμών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4B16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3E78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95345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C4819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AC3E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 </w:t>
            </w:r>
          </w:p>
        </w:tc>
      </w:tr>
      <w:tr w:rsidR="00CF525A" w:rsidRPr="00CF525A" w14:paraId="4F8578A5" w14:textId="77777777" w:rsidTr="00545F75">
        <w:trPr>
          <w:trHeight w:val="222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1859" w14:textId="7E9208D1" w:rsidR="00CF525A" w:rsidRPr="00CF525A" w:rsidRDefault="00680C51" w:rsidP="00CF525A">
            <w:pPr>
              <w:spacing w:line="360" w:lineRule="auto"/>
              <w:jc w:val="both"/>
            </w:pPr>
            <w:r w:rsidRPr="00CF525A">
              <w:t>Μπογιά</w:t>
            </w:r>
            <w:r w:rsidR="00CF525A" w:rsidRPr="00CF525A">
              <w:t xml:space="preserve"> </w:t>
            </w:r>
            <w:r w:rsidRPr="00CF525A">
              <w:t>λευκό</w:t>
            </w:r>
            <w:r w:rsidR="00CF525A" w:rsidRPr="00CF525A">
              <w:t xml:space="preserve"> </w:t>
            </w:r>
            <w:r w:rsidRPr="00CF525A">
              <w:t>χρώμα</w:t>
            </w:r>
            <w:r w:rsidR="00CF525A" w:rsidRPr="00CF525A">
              <w:t xml:space="preserve"> (10 </w:t>
            </w:r>
            <w:r w:rsidRPr="00CF525A">
              <w:t>λίτρο</w:t>
            </w:r>
            <w:r w:rsidR="00CF525A" w:rsidRPr="00CF525A"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E840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E9186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12,00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1BD50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14,88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874A9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144,00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065FE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178,56</w:t>
            </w:r>
          </w:p>
        </w:tc>
      </w:tr>
      <w:tr w:rsidR="00CF525A" w:rsidRPr="00CF525A" w14:paraId="6E192128" w14:textId="77777777" w:rsidTr="00545F75">
        <w:trPr>
          <w:trHeight w:val="222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34B2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 xml:space="preserve">Ρολά βαψίματος ΜΟΧΑΙΡ ΓΟΥΝΑΣ 30εκ-διατομή 8+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79F1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ECDE6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9,00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D9EA4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11,16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BA1E4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36,00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E7708" w14:textId="77777777" w:rsidR="00CF525A" w:rsidRPr="00CF525A" w:rsidRDefault="00CF525A" w:rsidP="00CF525A">
            <w:pPr>
              <w:spacing w:line="360" w:lineRule="auto"/>
              <w:jc w:val="both"/>
            </w:pPr>
            <w:r w:rsidRPr="00CF525A">
              <w:t>44,64</w:t>
            </w:r>
          </w:p>
        </w:tc>
      </w:tr>
      <w:tr w:rsidR="00CF525A" w:rsidRPr="00CF525A" w14:paraId="6D8464A8" w14:textId="77777777" w:rsidTr="00545F75">
        <w:trPr>
          <w:trHeight w:val="222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DEA9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 xml:space="preserve">Σύνολο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DF38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361C7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AE17E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95C36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180,00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381B8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223,20</w:t>
            </w:r>
          </w:p>
        </w:tc>
      </w:tr>
      <w:tr w:rsidR="00CF525A" w:rsidRPr="00CF525A" w14:paraId="2C778C4C" w14:textId="77777777" w:rsidTr="00545F75">
        <w:trPr>
          <w:trHeight w:val="222"/>
        </w:trPr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61B1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8310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6ECC1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9056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267B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2476" w14:textId="77777777" w:rsidR="00CF525A" w:rsidRPr="00CF525A" w:rsidRDefault="00CF525A" w:rsidP="00CF525A">
            <w:pPr>
              <w:spacing w:line="360" w:lineRule="auto"/>
              <w:jc w:val="both"/>
              <w:rPr>
                <w:b/>
                <w:bCs/>
              </w:rPr>
            </w:pPr>
            <w:r w:rsidRPr="00CF525A">
              <w:rPr>
                <w:b/>
                <w:bCs/>
              </w:rPr>
              <w:t> </w:t>
            </w:r>
          </w:p>
        </w:tc>
      </w:tr>
    </w:tbl>
    <w:p w14:paraId="220D878D" w14:textId="77777777" w:rsidR="00CF525A" w:rsidRDefault="00CF525A" w:rsidP="00CF52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χαμηλότερη τιμή για το σύνολο της υπηρεσίας. </w:t>
      </w:r>
    </w:p>
    <w:p w14:paraId="7C15F9D8" w14:textId="77777777" w:rsidR="00CF525A" w:rsidRDefault="00CF525A" w:rsidP="00CF52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lastRenderedPageBreak/>
        <w:t>Η ανάθεση θα γίνει στον οικονομικό φορέα με την πλέον συμφέρουσα από οικονομική προσφορά, βάσει της προσφερόμενης τιμής.</w:t>
      </w:r>
    </w:p>
    <w:p w14:paraId="721EDA90" w14:textId="77777777" w:rsidR="00CF525A" w:rsidRDefault="00CF525A" w:rsidP="00CF52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Σε περίπτωση ισοδύναμων προσφορών, η επιλογή του Αναδόχου θα γίνει με κλήρωση κατά τα οριζόμενα στο Ν. 4412/2016.</w:t>
      </w:r>
    </w:p>
    <w:p w14:paraId="24B3B356" w14:textId="77777777" w:rsidR="00CF525A" w:rsidRPr="00A96751" w:rsidRDefault="00CF525A" w:rsidP="00CF52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C67C08">
        <w:rPr>
          <w:rFonts w:ascii="Cambria" w:eastAsia="Times New Roman" w:hAnsi="Cambria" w:cs="Arial"/>
          <w:sz w:val="24"/>
          <w:szCs w:val="24"/>
          <w:lang w:eastAsia="el-GR"/>
        </w:rPr>
        <w:t>Η ανάθεση και η εκτέλεση της σύμβασης διέπεται από την κείμενη νομοθεσία και τις κατ΄ εξουσιοδότηση αυτής εκδοθείσες κανονιστικές πράξεις, όπως ισχύουν και ιδίως του ν. 4412/2016 (Α’ 147) «Δημόσιες Συμβάσεις Έργων, Προμηθειών και Υπηρεσιών (προσαρμογή στις Οδηγίες 2014/24/ ΕΕ και 2014/25/ΕΕ)».</w:t>
      </w:r>
    </w:p>
    <w:p w14:paraId="1CF3A8CF" w14:textId="77777777" w:rsidR="00CF525A" w:rsidRPr="00A96751" w:rsidRDefault="00CF525A" w:rsidP="00CF52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Οι προσφορές μπορούν να κατατεθούν στα γραφεία της ΑΡΣΙΣ (</w:t>
      </w:r>
      <w:r>
        <w:rPr>
          <w:rFonts w:ascii="Cambria" w:eastAsia="Times New Roman" w:hAnsi="Cambria" w:cs="Arial"/>
          <w:sz w:val="24"/>
          <w:szCs w:val="24"/>
          <w:lang w:eastAsia="el-GR"/>
        </w:rPr>
        <w:t>Μαυρομματαίων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el-GR"/>
        </w:rPr>
        <w:t>43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ΤΚ </w:t>
      </w:r>
      <w:r>
        <w:rPr>
          <w:rFonts w:ascii="Cambria" w:eastAsia="Times New Roman" w:hAnsi="Cambria" w:cs="Arial"/>
          <w:sz w:val="24"/>
          <w:szCs w:val="24"/>
          <w:lang w:eastAsia="el-GR"/>
        </w:rPr>
        <w:t>10434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</w:t>
      </w:r>
      <w:r>
        <w:rPr>
          <w:rFonts w:ascii="Cambria" w:eastAsia="Times New Roman" w:hAnsi="Cambria" w:cs="Arial"/>
          <w:sz w:val="24"/>
          <w:szCs w:val="24"/>
          <w:lang w:eastAsia="el-GR"/>
        </w:rPr>
        <w:t>Αθήνα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), είτε με κάθε πρόσφορο μέσο επικοινωνίας (ταχυδρομικά έγγραφα, ηλεκτρονικά, με φαξ ή αντίστοιχο τρόπο).</w:t>
      </w:r>
    </w:p>
    <w:p w14:paraId="4A9FDA60" w14:textId="77777777" w:rsidR="00CF525A" w:rsidRPr="00A96751" w:rsidRDefault="00CF525A" w:rsidP="00CF52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Ηλεκτρονική Διεύθυνση</w:t>
      </w:r>
      <w:r>
        <w:rPr>
          <w:rFonts w:ascii="Cambria" w:eastAsia="Times New Roman" w:hAnsi="Cambria" w:cs="Arial"/>
          <w:sz w:val="24"/>
          <w:szCs w:val="24"/>
          <w:lang w:eastAsia="el-GR"/>
        </w:rPr>
        <w:t xml:space="preserve">: </w:t>
      </w:r>
      <w:r w:rsidRPr="00A9216B">
        <w:rPr>
          <w:rFonts w:ascii="Cambria" w:eastAsia="Times New Roman" w:hAnsi="Cambria" w:cs="Arial"/>
          <w:sz w:val="24"/>
          <w:szCs w:val="24"/>
          <w:lang w:eastAsia="el-GR"/>
        </w:rPr>
        <w:t>estiasupplies.arsis@gmail.com</w:t>
      </w:r>
    </w:p>
    <w:p w14:paraId="414A6E49" w14:textId="0568A3D1" w:rsidR="00CF525A" w:rsidRPr="00A96751" w:rsidRDefault="00CF525A" w:rsidP="00CF52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Ημερομηνία λήψης της προσφοράς από την ΑΡΣΙΣ το αργότερο έως την 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27</w:t>
      </w:r>
      <w:r w:rsidRPr="00834C88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/0</w:t>
      </w:r>
      <w:r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4/2022</w:t>
      </w: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ώρα 15.00 μ.μ.</w:t>
      </w:r>
    </w:p>
    <w:p w14:paraId="5F75C6F3" w14:textId="77777777" w:rsidR="00CF525A" w:rsidRDefault="00CF525A" w:rsidP="00CF52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site της ΑΡΣΙΣ </w:t>
      </w:r>
      <w:hyperlink r:id="rId6" w:history="1">
        <w:r w:rsidRPr="00A96751">
          <w:rPr>
            <w:rStyle w:val="-"/>
            <w:rFonts w:ascii="Cambria" w:eastAsia="Times New Roman" w:hAnsi="Cambria" w:cs="Arial"/>
            <w:sz w:val="24"/>
            <w:szCs w:val="24"/>
            <w:lang w:eastAsia="el-GR"/>
          </w:rPr>
          <w:t>www.arsis.gr</w:t>
        </w:r>
      </w:hyperlink>
      <w:r>
        <w:rPr>
          <w:rFonts w:ascii="Cambria" w:eastAsia="Times New Roman" w:hAnsi="Cambria" w:cs="Arial"/>
          <w:sz w:val="24"/>
          <w:szCs w:val="24"/>
          <w:lang w:eastAsia="el-GR"/>
        </w:rPr>
        <w:t>.</w:t>
      </w:r>
    </w:p>
    <w:p w14:paraId="445E4FB7" w14:textId="77777777" w:rsidR="00CF525A" w:rsidRPr="00A96751" w:rsidRDefault="00CF525A" w:rsidP="00CF525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Οι ενδιαφερόμενοι μπορούν να λαμβάνουν </w:t>
      </w:r>
      <w:r>
        <w:rPr>
          <w:rFonts w:ascii="Cambria" w:eastAsia="Times New Roman" w:hAnsi="Cambria" w:cs="Arial"/>
          <w:sz w:val="24"/>
          <w:szCs w:val="24"/>
          <w:lang w:eastAsia="el-GR"/>
        </w:rPr>
        <w:t>π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ληροφορίες από το site της Άρσις www.arsis.gr.</w:t>
      </w:r>
    </w:p>
    <w:p w14:paraId="45CAA0B0" w14:textId="77777777" w:rsidR="00353FDB" w:rsidRDefault="00353FDB" w:rsidP="00353FDB">
      <w:pPr>
        <w:spacing w:line="360" w:lineRule="auto"/>
        <w:jc w:val="both"/>
      </w:pPr>
    </w:p>
    <w:sectPr w:rsidR="00353FDB" w:rsidSect="008C3C5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FF3B" w14:textId="77777777" w:rsidR="00353FDB" w:rsidRDefault="00353FDB" w:rsidP="00353FDB">
      <w:pPr>
        <w:spacing w:after="0" w:line="240" w:lineRule="auto"/>
      </w:pPr>
      <w:r>
        <w:separator/>
      </w:r>
    </w:p>
  </w:endnote>
  <w:endnote w:type="continuationSeparator" w:id="0">
    <w:p w14:paraId="666FBD19" w14:textId="77777777" w:rsidR="00353FDB" w:rsidRDefault="00353FDB" w:rsidP="0035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352722"/>
      <w:docPartObj>
        <w:docPartGallery w:val="Page Numbers (Bottom of Page)"/>
        <w:docPartUnique/>
      </w:docPartObj>
    </w:sdtPr>
    <w:sdtEndPr/>
    <w:sdtContent>
      <w:p w14:paraId="35239567" w14:textId="4FA5BD57" w:rsidR="00CF525A" w:rsidRDefault="00CF52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A642F" w14:textId="77777777" w:rsidR="00CF525A" w:rsidRDefault="00CF52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0EDB" w14:textId="77777777" w:rsidR="00353FDB" w:rsidRDefault="00353FDB" w:rsidP="00353FDB">
      <w:pPr>
        <w:spacing w:after="0" w:line="240" w:lineRule="auto"/>
      </w:pPr>
      <w:r>
        <w:separator/>
      </w:r>
    </w:p>
  </w:footnote>
  <w:footnote w:type="continuationSeparator" w:id="0">
    <w:p w14:paraId="4D804EEC" w14:textId="77777777" w:rsidR="00353FDB" w:rsidRDefault="00353FDB" w:rsidP="0035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D28" w14:textId="616885CE" w:rsidR="00353FDB" w:rsidRDefault="00353FDB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01E210DF" wp14:editId="204527E5">
          <wp:simplePos x="0" y="0"/>
          <wp:positionH relativeFrom="margin">
            <wp:posOffset>2743200</wp:posOffset>
          </wp:positionH>
          <wp:positionV relativeFrom="paragraph">
            <wp:posOffset>-250825</wp:posOffset>
          </wp:positionV>
          <wp:extent cx="3162300" cy="866775"/>
          <wp:effectExtent l="0" t="0" r="0" b="9525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533F41C" wp14:editId="6A74BB7F">
          <wp:simplePos x="0" y="0"/>
          <wp:positionH relativeFrom="column">
            <wp:posOffset>594360</wp:posOffset>
          </wp:positionH>
          <wp:positionV relativeFrom="paragraph">
            <wp:posOffset>-250190</wp:posOffset>
          </wp:positionV>
          <wp:extent cx="1104900" cy="889000"/>
          <wp:effectExtent l="0" t="0" r="0" b="6350"/>
          <wp:wrapTopAndBottom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C1"/>
    <w:rsid w:val="00013DC1"/>
    <w:rsid w:val="00353FDB"/>
    <w:rsid w:val="00545F75"/>
    <w:rsid w:val="00680C51"/>
    <w:rsid w:val="008C3C5B"/>
    <w:rsid w:val="00CF525A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611D"/>
  <w15:chartTrackingRefBased/>
  <w15:docId w15:val="{9F47D10E-9B4A-4D91-9C5C-5996884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3FDB"/>
  </w:style>
  <w:style w:type="paragraph" w:styleId="a4">
    <w:name w:val="footer"/>
    <w:basedOn w:val="a"/>
    <w:link w:val="Char0"/>
    <w:uiPriority w:val="99"/>
    <w:unhideWhenUsed/>
    <w:rsid w:val="00353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3FDB"/>
  </w:style>
  <w:style w:type="character" w:styleId="-">
    <w:name w:val="Hyperlink"/>
    <w:basedOn w:val="a0"/>
    <w:uiPriority w:val="99"/>
    <w:unhideWhenUsed/>
    <w:rsid w:val="00CF5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is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Eftichia Giannopoulou</dc:creator>
  <cp:keywords/>
  <dc:description/>
  <cp:lastModifiedBy>Eftichia Giannopoulou</cp:lastModifiedBy>
  <cp:revision>4</cp:revision>
  <dcterms:created xsi:type="dcterms:W3CDTF">2022-04-20T09:18:00Z</dcterms:created>
  <dcterms:modified xsi:type="dcterms:W3CDTF">2022-04-20T09:48:00Z</dcterms:modified>
</cp:coreProperties>
</file>