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62" w:rsidRPr="00136058" w:rsidRDefault="00BF6762" w:rsidP="00BF6762">
      <w:pPr>
        <w:spacing w:after="0" w:line="240" w:lineRule="auto"/>
        <w:jc w:val="both"/>
        <w:rPr>
          <w:rFonts w:ascii="Calibri" w:hAnsi="Calibri" w:cs="Calibri"/>
          <w:b/>
          <w:bCs/>
          <w:iCs/>
          <w:u w:val="single"/>
        </w:rPr>
      </w:pPr>
      <w:r w:rsidRPr="00136058">
        <w:rPr>
          <w:rFonts w:ascii="Calibri" w:hAnsi="Calibri" w:cs="Calibri"/>
          <w:b/>
          <w:bCs/>
          <w:iCs/>
          <w:u w:val="single"/>
        </w:rPr>
        <w:t>ΠΑΡΑΡΤΗΜΑ Ι – Αναλυτική Περιγραφή Φυσικού και Οικονομικού Αντικειμένου της</w:t>
      </w:r>
      <w:r w:rsidRPr="00136058">
        <w:rPr>
          <w:rFonts w:ascii="Calibri" w:hAnsi="Calibri" w:cs="Calibri"/>
          <w:b/>
          <w:bCs/>
          <w:iCs/>
          <w:u w:val="single"/>
        </w:rPr>
        <w:br/>
        <w:t>Σύμβασης</w:t>
      </w:r>
    </w:p>
    <w:p w:rsidR="00BF6762" w:rsidRPr="00136058" w:rsidRDefault="00BF6762" w:rsidP="00BF6762">
      <w:pPr>
        <w:spacing w:after="0" w:line="240" w:lineRule="auto"/>
        <w:jc w:val="both"/>
        <w:rPr>
          <w:rFonts w:ascii="Calibri" w:hAnsi="Calibri" w:cs="Calibri"/>
          <w:b/>
          <w:bCs/>
          <w:iCs/>
          <w:u w:val="single"/>
        </w:rPr>
      </w:pPr>
      <w:r w:rsidRPr="00136058">
        <w:rPr>
          <w:rFonts w:ascii="Calibri" w:hAnsi="Calibri" w:cs="Calibri"/>
          <w:b/>
          <w:bCs/>
          <w:iCs/>
          <w:u w:val="single"/>
        </w:rPr>
        <w:br/>
        <w:t>ΜΕΡΟΣ Α ‐ ΠΕΡΙΓΡΑΦΗ ΦΥΣΙΚΟΥ ΑΝΤΙΚΕΙΜΕΝΟΥ ΤΗΣ ΣΥΜΒΑΣΗΣ</w:t>
      </w:r>
      <w:r w:rsidRPr="00136058">
        <w:rPr>
          <w:rFonts w:ascii="Calibri" w:hAnsi="Calibri" w:cs="Calibri"/>
          <w:b/>
          <w:bCs/>
          <w:iCs/>
          <w:u w:val="single"/>
        </w:rPr>
        <w:br/>
        <w:t>TEXNIKH ΠΕΡΙΓΡΑΦΗ - ΑΙΤΙΟΛΟΓΗΣΗ ΑΝΑΓΚΑΙΟΤΗΤΑΣ</w:t>
      </w:r>
      <w:r w:rsidRPr="00136058">
        <w:rPr>
          <w:rFonts w:ascii="Calibri" w:hAnsi="Calibri" w:cs="Calibri"/>
          <w:b/>
          <w:bCs/>
          <w:iCs/>
          <w:u w:val="single"/>
        </w:rPr>
        <w:br/>
        <w:t>TEXNIKH ΠΕΡΙΓΡΑΦΗ</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Έχοντας υπόψη το νόμο 4412/2016 όπως τροποποιήθηκε και ισχύει και τη σχετική νομολογία οι εργασίες</w:t>
      </w:r>
      <w:r w:rsidRPr="00136058">
        <w:rPr>
          <w:rFonts w:ascii="Calibri" w:hAnsi="Calibri" w:cs="Calibri"/>
          <w:b/>
          <w:bCs/>
          <w:iCs/>
        </w:rPr>
        <w:br/>
      </w:r>
      <w:r w:rsidRPr="00136058">
        <w:rPr>
          <w:rFonts w:ascii="Calibri" w:hAnsi="Calibri" w:cs="Calibri"/>
          <w:bCs/>
          <w:iCs/>
        </w:rPr>
        <w:t>επισκευών και συντήρησης κτηρίων, θεωρούνται Γενικές Υπηρεσίες</w:t>
      </w:r>
      <w:r w:rsidRPr="00136058">
        <w:rPr>
          <w:rFonts w:ascii="Calibri" w:hAnsi="Calibri" w:cs="Calibri"/>
          <w:b/>
          <w:bCs/>
          <w:iCs/>
        </w:rPr>
        <w:br/>
      </w:r>
      <w:r w:rsidRPr="00136058">
        <w:rPr>
          <w:rFonts w:ascii="Calibri" w:hAnsi="Calibri" w:cs="Calibri"/>
          <w:bCs/>
          <w:iCs/>
        </w:rPr>
        <w:t>διότι αποτελούν μεμονωμένες και μικρής κλίμακας εργασίες συντήρησης για την εκτέλεση των οποίων</w:t>
      </w:r>
      <w:r w:rsidRPr="00136058">
        <w:rPr>
          <w:rFonts w:ascii="Calibri" w:hAnsi="Calibri" w:cs="Calibri"/>
          <w:b/>
          <w:bCs/>
          <w:iCs/>
        </w:rPr>
        <w:br/>
      </w:r>
      <w:r w:rsidRPr="00136058">
        <w:rPr>
          <w:rFonts w:ascii="Calibri" w:hAnsi="Calibri" w:cs="Calibri"/>
          <w:bCs/>
          <w:iCs/>
        </w:rPr>
        <w:t>δεν απαιτείται η χρήση ειδικών τεχνικών γνώσεων και μεθόδων, ούτε η χρησιμοποίηση εξειδικευμένου</w:t>
      </w:r>
      <w:r w:rsidRPr="00136058">
        <w:rPr>
          <w:rFonts w:ascii="Calibri" w:hAnsi="Calibri" w:cs="Calibri"/>
          <w:b/>
          <w:bCs/>
          <w:iCs/>
        </w:rPr>
        <w:br/>
      </w:r>
      <w:r w:rsidRPr="00136058">
        <w:rPr>
          <w:rFonts w:ascii="Calibri" w:hAnsi="Calibri" w:cs="Calibri"/>
          <w:bCs/>
          <w:iCs/>
        </w:rPr>
        <w:t>επιστημονικού ή τεχνικού προσωπικού και ανάλογων τεχνικών μέσων και για τη διεκπεραίωσή τους,</w:t>
      </w:r>
      <w:r w:rsidRPr="00136058">
        <w:rPr>
          <w:rFonts w:ascii="Calibri" w:hAnsi="Calibri" w:cs="Calibri"/>
          <w:b/>
          <w:bCs/>
          <w:iCs/>
        </w:rPr>
        <w:br/>
      </w:r>
      <w:r w:rsidRPr="00136058">
        <w:rPr>
          <w:rFonts w:ascii="Calibri" w:hAnsi="Calibri" w:cs="Calibri"/>
          <w:bCs/>
          <w:iCs/>
        </w:rPr>
        <w:t>απαιτείτε η ύπαρξη μιας απλής τεχνικής περιγραφής των προς εκτέλεση εργασιών, χωρίς ειδική τεχνική</w:t>
      </w:r>
      <w:r w:rsidRPr="00136058">
        <w:rPr>
          <w:rFonts w:ascii="Calibri" w:hAnsi="Calibri" w:cs="Calibri"/>
          <w:b/>
          <w:bCs/>
          <w:iCs/>
        </w:rPr>
        <w:br/>
      </w:r>
      <w:r w:rsidRPr="00136058">
        <w:rPr>
          <w:rFonts w:ascii="Calibri" w:hAnsi="Calibri" w:cs="Calibri"/>
          <w:bCs/>
          <w:iCs/>
        </w:rPr>
        <w:t>μελέτη. (Σχετική Νομολογία 197/2017, 214/2017, 232/2017 Πράξη Κλιμακίου ΠΕΔ στο VII Τμήμα,</w:t>
      </w:r>
      <w:r w:rsidRPr="00136058">
        <w:rPr>
          <w:rFonts w:ascii="Calibri" w:hAnsi="Calibri" w:cs="Calibri"/>
          <w:b/>
          <w:bCs/>
          <w:iCs/>
        </w:rPr>
        <w:br/>
      </w:r>
      <w:r w:rsidRPr="00136058">
        <w:rPr>
          <w:rFonts w:ascii="Calibri" w:hAnsi="Calibri" w:cs="Calibri"/>
          <w:bCs/>
          <w:iCs/>
        </w:rPr>
        <w:t>87/2017 Πράξη Κλιμακίου ΠΕΔ στο IV Τμήμα).</w:t>
      </w: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
          <w:bCs/>
          <w:iCs/>
        </w:rPr>
        <w:br/>
        <w:t>1) ΥΦΙΣΤΑΜΕΝΗ ΚΑΤΑΣΤΑΣΗ</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Το ΑΡΣΙΣ – Κ.Ο.Υ.Ν. διαθέτει δύο Δομές στέγασης σε Αττική και Νήσο Χίο:</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br/>
        <w:t>α) Τα διαμερίσματα της Δομής στην Αττική είναι ενενήντα εννέα (99) διαμερίσματα, που βρίσκονται στην εντός Αττικής και πέριξ του αστικού κέντρου.</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br/>
        <w:t xml:space="preserve">β) Τα διαμερίσματα της Δομής στην Νήσο Χίο είναι εβδομήντα έξι (76) </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br/>
        <w:t>Τα κτήρια είναι κατασκευασμένα σε διαφορετικές χρονολογικές περιόδους και παρουσιάζουν πολλαπλές και ποικιλόμορφες ανάγκες συντηρήσεων.</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w:t>
      </w:r>
      <w:r w:rsidRPr="00136058">
        <w:rPr>
          <w:rFonts w:ascii="Calibri" w:hAnsi="Calibri" w:cs="Calibri"/>
          <w:bCs/>
          <w:iCs/>
        </w:rPr>
        <w:br/>
      </w:r>
      <w:r w:rsidRPr="00136058">
        <w:rPr>
          <w:rFonts w:ascii="Calibri" w:hAnsi="Calibri" w:cs="Calibri"/>
          <w:b/>
          <w:bCs/>
          <w:iCs/>
        </w:rPr>
        <w:t>2) ΑΝΤΙΚΕΙΜΕΝΟ</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Το έργο αφορά στις διάφορες εργασίες συντήρησης, επισκευών και ανακαινίσεων</w:t>
      </w:r>
      <w:r w:rsidRPr="00136058">
        <w:rPr>
          <w:rFonts w:ascii="Calibri" w:hAnsi="Calibri" w:cs="Calibri"/>
          <w:bCs/>
          <w:iCs/>
        </w:rPr>
        <w:br/>
        <w:t>σύμφωνα με τις ανάγκες της Οργάνωσης και των υποχρεώσεών της που προκύπτουν τόσο από την λειτουργία των διαμερισμάτων όσο και από την παύση της λειτουργίας των διαμερισμάτων στην Νήσο Χίο που επιβάλλεται η Οργάνωση να τα παραδώσει στην αρχική τους κατάσταση, Οι ως άνω εργασίες,</w:t>
      </w:r>
      <w:r w:rsidRPr="00136058">
        <w:rPr>
          <w:rFonts w:ascii="Calibri" w:hAnsi="Calibri" w:cs="Calibri"/>
          <w:bCs/>
          <w:iCs/>
        </w:rPr>
        <w:br/>
        <w:t>αφορούν σε περιορισμένης έκτασης τοπικές επεμβάσεις. Οι επεμβάσεις αυτές μπορεί να αφορούν και</w:t>
      </w:r>
      <w:r w:rsidRPr="00136058">
        <w:rPr>
          <w:rFonts w:ascii="Calibri" w:hAnsi="Calibri" w:cs="Calibri"/>
          <w:bCs/>
          <w:iCs/>
        </w:rPr>
        <w:br/>
        <w:t>στην συντήρηση πολύ περιορισμένου τμήματος σε πολλούς και διαφορετικούς χώρους.</w:t>
      </w:r>
      <w:r w:rsidRPr="00136058">
        <w:rPr>
          <w:rFonts w:ascii="Calibri" w:hAnsi="Calibri" w:cs="Calibri"/>
          <w:bCs/>
          <w:iCs/>
        </w:rPr>
        <w:br/>
        <w:t xml:space="preserve">Οι ποσότητες των ειδών και εργασιών‐υπηρεσιών θα διαμορφωθούν ανάλογα με τις ανάγκες των διαμερισμάτων της Οργάνωσης, σε όσα από αυτά απαιτείται να γίνουν παρεμβάσεις. </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Ο ανάδοχος θα είναι υποχρεωμένος, όποτε τα αρμόδια και ορισμένα άτομα της Αναθέτουσας Αρχής τον καλούν, και ανάλογα με τις ανάγκες της και τον πίνακα εργασιών‐υπηρεσιών που θα του εγκρίνει, να έχει όλο το απαιτούμενο υλικοτεχνικό και εργατοτεχνικό προσωπικό, ανεξάρτητα από το μέγεθος της εργασίας.</w:t>
      </w: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Cs/>
          <w:iCs/>
        </w:rPr>
        <w:lastRenderedPageBreak/>
        <w:br/>
      </w:r>
      <w:r w:rsidRPr="00136058">
        <w:rPr>
          <w:rFonts w:ascii="Calibri" w:hAnsi="Calibri" w:cs="Calibri"/>
          <w:b/>
          <w:bCs/>
          <w:iCs/>
        </w:rPr>
        <w:t>3) TEXNIKH ΠΕΡΙΓΡΑΦΗ</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Όλες οι εργασίες‐υπηρεσίες θα πρέπει να γίνονται, σύμφωνα με τους κανόνες και τις οδηγίες της τέχνης,</w:t>
      </w:r>
      <w:r w:rsidRPr="00136058">
        <w:rPr>
          <w:rFonts w:ascii="Calibri" w:hAnsi="Calibri" w:cs="Calibri"/>
          <w:bCs/>
          <w:iCs/>
        </w:rPr>
        <w:br/>
        <w:t>της ασφάλειας και της επιστήμης, όπως αυτές εξειδικεύονται με τις ισχύουσες Τεχνικές Προδιαγραφές.</w:t>
      </w:r>
      <w:r w:rsidRPr="00136058">
        <w:rPr>
          <w:rFonts w:ascii="Calibri" w:hAnsi="Calibri" w:cs="Calibri"/>
          <w:bCs/>
          <w:iCs/>
        </w:rPr>
        <w:br/>
        <w:t>Οι εργασίες‐υπηρεσίες που θα γίνονται αφορούν σε υπάρχοντα κτήρια τα οποία βρίσκονται συνεχώς σε</w:t>
      </w:r>
      <w:r w:rsidRPr="00136058">
        <w:rPr>
          <w:rFonts w:ascii="Calibri" w:hAnsi="Calibri" w:cs="Calibri"/>
          <w:bCs/>
          <w:iCs/>
        </w:rPr>
        <w:br/>
        <w:t>λειτουργία είναι χρωματισμένα και έχουν κάθε είδους τελειώματα στους χώρους τους και στα οποία</w:t>
      </w:r>
      <w:r w:rsidRPr="00136058">
        <w:rPr>
          <w:rFonts w:ascii="Calibri" w:hAnsi="Calibri" w:cs="Calibri"/>
          <w:bCs/>
          <w:iCs/>
        </w:rPr>
        <w:br/>
        <w:t>χρειάζεται να γίνονται ανακαινίσεις, επισκευές και συντηρήσεις. Ο ανάδοχος θα αναλάβει την υποχρέωση να αντικαταστήσει κάθε ζημιά, που τυχόν θα προκληθεί στους κοινόχρηστους χώρους κατά την εκτέλεση των εργασιών. Σε περίπτωση εργατικού ατυχήματος κατά την εκτέλεση των εργασιών στα διαμερίσματα που μισθώνει η Οργάνωση δεν θα ευθύνεται η Αναθέτουσα Αρχή.</w:t>
      </w:r>
      <w:r w:rsidRPr="00136058">
        <w:rPr>
          <w:rFonts w:ascii="Calibri" w:hAnsi="Calibri" w:cs="Calibri"/>
          <w:bCs/>
          <w:iCs/>
        </w:rPr>
        <w:br/>
        <w:t>Ο ανάδοχος θα υποχρεούται να διαθέτει όλα τα αναγκαία μηχανήματα για την ολοκλήρωση του έργου.</w:t>
      </w:r>
      <w:r w:rsidRPr="00136058">
        <w:rPr>
          <w:rFonts w:ascii="Calibri" w:hAnsi="Calibri" w:cs="Calibri"/>
          <w:bCs/>
          <w:iCs/>
        </w:rPr>
        <w:br/>
        <w:t>Η Αναθέτουσα Αρχή απαλλάσσεται από κάθε άλλη υποχρέωση όπως ασφαλιστικές εισφορές</w:t>
      </w:r>
      <w:r w:rsidRPr="00136058">
        <w:rPr>
          <w:rFonts w:ascii="Calibri" w:hAnsi="Calibri" w:cs="Calibri"/>
          <w:bCs/>
          <w:iCs/>
        </w:rPr>
        <w:br/>
        <w:t>(ΕΦΚΑ ή άλλων ασφαλιστικών ταμείων), φόρους κάθε φύσης, τέλη, άδειες και επιδόματα εργαζομένων.</w:t>
      </w:r>
      <w:r w:rsidRPr="00136058">
        <w:rPr>
          <w:rFonts w:ascii="Calibri" w:hAnsi="Calibri" w:cs="Calibri"/>
          <w:bCs/>
          <w:iCs/>
        </w:rPr>
        <w:br/>
        <w:t>Ο ανάδοχος θα πρέπει να ορίσει Τεχνικό Ασφαλείας, ο οποίος θα είναι υπεύθυνος για τη διασφάλιση της</w:t>
      </w:r>
      <w:r w:rsidRPr="00136058">
        <w:rPr>
          <w:rFonts w:ascii="Calibri" w:hAnsi="Calibri" w:cs="Calibri"/>
          <w:bCs/>
          <w:iCs/>
        </w:rPr>
        <w:br/>
        <w:t>άρτιας και υποδειγματικής ποιότητας εκτέλεση των εργασιών‐υπηρεσιών, την τήρηση των κανόνων</w:t>
      </w:r>
      <w:r w:rsidRPr="00136058">
        <w:rPr>
          <w:rFonts w:ascii="Calibri" w:hAnsi="Calibri" w:cs="Calibri"/>
          <w:bCs/>
          <w:iCs/>
        </w:rPr>
        <w:br/>
        <w:t>ασφαλείας και τη σωστή εμφάνιση και συμπεριφορά του συνεργείου.</w:t>
      </w:r>
      <w:r w:rsidRPr="00136058">
        <w:rPr>
          <w:rFonts w:ascii="Calibri" w:hAnsi="Calibri" w:cs="Calibri"/>
          <w:bCs/>
          <w:iCs/>
        </w:rPr>
        <w:br/>
        <w:t>Ο Τεχνικός Ασφαλείας θα είναι σε επικοινωνία με αρμόδιο υπάλληλο της ΑΡΣΙΣ Κ.Ο.Υ.Ν. Επίσης θα πρέπει να δοθεί ιδιαίτερη μέριμνα στην διαφύλαξη και προστασία του κινητού εξοπλισμού των</w:t>
      </w:r>
      <w:r w:rsidRPr="00136058">
        <w:rPr>
          <w:rFonts w:ascii="Calibri" w:hAnsi="Calibri" w:cs="Calibri"/>
          <w:bCs/>
          <w:iCs/>
        </w:rPr>
        <w:br/>
        <w:t xml:space="preserve">κοινοχρήστων χώρων. </w:t>
      </w:r>
      <w:r w:rsidRPr="00136058">
        <w:rPr>
          <w:rFonts w:ascii="Calibri" w:hAnsi="Calibri" w:cs="Calibri"/>
          <w:b/>
          <w:bCs/>
          <w:iCs/>
        </w:rPr>
        <w:t xml:space="preserve"> </w:t>
      </w:r>
      <w:r w:rsidRPr="00136058">
        <w:rPr>
          <w:rFonts w:ascii="Calibri" w:hAnsi="Calibri" w:cs="Calibri"/>
          <w:bCs/>
          <w:iCs/>
        </w:rPr>
        <w:t>Ο συμβατικός χρόνος εκτέλεσης των εργασιών ορίζεται σε πέντε (5) μήνες από την ημερομηνία υπογραφής της σύμβασης και την ανάρτηση της στο ΚΗΜΔΗΣ.</w:t>
      </w: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Cs/>
          <w:iCs/>
        </w:rPr>
        <w:br/>
      </w:r>
      <w:r w:rsidRPr="00136058">
        <w:rPr>
          <w:rFonts w:ascii="Calibri" w:hAnsi="Calibri" w:cs="Calibri"/>
          <w:b/>
          <w:bCs/>
          <w:iCs/>
        </w:rPr>
        <w:t>4) ΕΡΓΑΣΙΕΣ‐ΥΠΗΡΕΣΙΕΣ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Οι κυριότερες εργασίες που προβλέπονται είναι οι παρακάτω:</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br/>
        <w:t>ΟΜΑΔΑ Α: ΕΡΓΑΣΙΕΣ ΕΛΑΙΟΧΡΩΜΑΤΙΣΜΟΥ</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Β: ΞΥΛΟΥΡΓΙΚΕΣ ΕΡΓΑΣΙΕΣ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Γ: ΗΛΕΚΤΡΟΛΟΓΙΚΕΣ ΕΡΓΑΣΙΕΣ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Δ: ΥΔΡΑΥΛΙΚΕΣ ΕΡΓΑΣΙΕΣ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Ε: ΕΡΓΑΣΙΕΣ ΕΠΙΔΙΟΡΘΩΣΗΣ ΑΛΟΥΜΙΝΙΩΝ</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Ζ: ΕΡΓΑΣΙΕΣ ΑΠΟΚΑΤΑΣΤΑΣΗΣ ΚΡΥΣΤΑΛΛΩΝ</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Cs/>
          <w:iCs/>
        </w:rPr>
        <w:t>ΟΜΑΔΑ Η: ΕΡΓΑΣΙΕΣ ΣΕ ΠΟΡΤΕΣ &amp; ΡΟΛΑ</w:t>
      </w:r>
    </w:p>
    <w:p w:rsidR="00BF6762" w:rsidRPr="00136058" w:rsidRDefault="00BF6762" w:rsidP="00BF6762">
      <w:pPr>
        <w:spacing w:after="0" w:line="240" w:lineRule="auto"/>
        <w:jc w:val="both"/>
        <w:rPr>
          <w:rFonts w:ascii="Calibri" w:hAnsi="Calibri" w:cs="Calibri"/>
          <w:bCs/>
          <w:iCs/>
        </w:rPr>
      </w:pP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
          <w:bCs/>
          <w:iCs/>
        </w:rPr>
        <w:t>5) ΠΡΟΜΗΘΕΙΑ ΥΛΙΚΩΝ‐ΤΕΧΝΙΚΕΣ ΠΡΟΔΙΑΓΡΑΦΕΣ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 xml:space="preserve">Όλα τα υλικά εργοστασιακής προέλευσης και η εφαρμογή τους θα ακολουθηθούν </w:t>
      </w:r>
      <w:proofErr w:type="spellStart"/>
      <w:r w:rsidRPr="00136058">
        <w:rPr>
          <w:rFonts w:ascii="Calibri" w:hAnsi="Calibri" w:cs="Calibri"/>
          <w:bCs/>
          <w:iCs/>
        </w:rPr>
        <w:t>απαρέκλητα</w:t>
      </w:r>
      <w:proofErr w:type="spellEnd"/>
      <w:r w:rsidRPr="00136058">
        <w:rPr>
          <w:rFonts w:ascii="Calibri" w:hAnsi="Calibri" w:cs="Calibri"/>
          <w:bCs/>
          <w:iCs/>
        </w:rPr>
        <w:t xml:space="preserve"> οι οδηγίες του Κατασκευαστή τους. Όλες οι εργασίες τοποθέτησης θα κατασκευαστούν από έμπειρα και εξειδικευμένα συνεργεία. Ο Ανάδοχος υποχρεούται ‐εφόσον ζητηθεί από την Υπηρεσία‐ στην προμήθεια δειγμάτων για έγκριση</w:t>
      </w:r>
      <w:r w:rsidRPr="00136058">
        <w:rPr>
          <w:rFonts w:ascii="Calibri" w:hAnsi="Calibri" w:cs="Calibri"/>
          <w:b/>
          <w:bCs/>
          <w:iCs/>
        </w:rPr>
        <w:t xml:space="preserve"> </w:t>
      </w:r>
      <w:r w:rsidRPr="00136058">
        <w:rPr>
          <w:rFonts w:ascii="Calibri" w:hAnsi="Calibri" w:cs="Calibri"/>
          <w:bCs/>
          <w:iCs/>
        </w:rPr>
        <w:t xml:space="preserve">από την Αναθέτουσα Αρχή πριν από οποιαδήποτε εκτέλεση εργασίας, καθώς και στη συντήρηση </w:t>
      </w:r>
      <w:r w:rsidRPr="00136058">
        <w:rPr>
          <w:rFonts w:ascii="Calibri" w:hAnsi="Calibri" w:cs="Calibri"/>
          <w:bCs/>
          <w:iCs/>
        </w:rPr>
        <w:lastRenderedPageBreak/>
        <w:t>όλων των εργασιών μέχρι και την παραλαβή του χώρου. Πριν από την παραλαβή όλες οι επιφάνειες θα καθαριστούν με επιμέλεια.</w:t>
      </w: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
          <w:bCs/>
          <w:iCs/>
        </w:rPr>
        <w:br/>
        <w:t>6) ΜΕΤΡΑ ΑΣΦΑΛΕΙΑΣ ‐ ΠΟΙΟΤΙΚΟΣ ΕΛΕΓΧΟΣ</w:t>
      </w:r>
    </w:p>
    <w:p w:rsidR="00BF6762" w:rsidRPr="00136058" w:rsidRDefault="00BF6762" w:rsidP="00BF6762">
      <w:pPr>
        <w:spacing w:after="0" w:line="240" w:lineRule="auto"/>
        <w:jc w:val="both"/>
        <w:rPr>
          <w:rFonts w:ascii="Calibri" w:hAnsi="Calibri" w:cs="Calibri"/>
          <w:bCs/>
          <w:iCs/>
        </w:rPr>
      </w:pPr>
      <w:r w:rsidRPr="00136058">
        <w:rPr>
          <w:rFonts w:ascii="Calibri" w:hAnsi="Calibri" w:cs="Calibri"/>
          <w:b/>
          <w:bCs/>
          <w:iCs/>
        </w:rPr>
        <w:br/>
      </w:r>
      <w:r w:rsidRPr="00136058">
        <w:rPr>
          <w:rFonts w:ascii="Calibri" w:hAnsi="Calibri" w:cs="Calibri"/>
          <w:bCs/>
          <w:iCs/>
        </w:rPr>
        <w:t>Επισημαίνεται η αναγκαιότητα της λήψης μέτρων ασφαλείας καθ’ όλη τη διάρκεια εκτέλεσης των</w:t>
      </w:r>
      <w:r w:rsidRPr="00136058">
        <w:rPr>
          <w:rFonts w:ascii="Calibri" w:hAnsi="Calibri" w:cs="Calibri"/>
          <w:bCs/>
          <w:iCs/>
        </w:rPr>
        <w:br/>
        <w:t>εργασιών και όσο απαιτείται μέχρι την παράδοση του έργου.</w:t>
      </w:r>
    </w:p>
    <w:p w:rsidR="00BF6762" w:rsidRPr="00136058" w:rsidRDefault="00BF6762" w:rsidP="00BF6762">
      <w:pPr>
        <w:spacing w:after="0" w:line="240" w:lineRule="auto"/>
        <w:jc w:val="both"/>
        <w:rPr>
          <w:rFonts w:ascii="Calibri" w:hAnsi="Calibri" w:cs="Calibri"/>
          <w:b/>
          <w:bCs/>
          <w:iCs/>
        </w:rPr>
      </w:pPr>
      <w:r w:rsidRPr="00136058">
        <w:rPr>
          <w:rFonts w:ascii="Calibri" w:hAnsi="Calibri" w:cs="Calibri"/>
          <w:bCs/>
          <w:iCs/>
        </w:rPr>
        <w:br/>
      </w:r>
      <w:r w:rsidRPr="00136058">
        <w:rPr>
          <w:rFonts w:ascii="Calibri" w:hAnsi="Calibri" w:cs="Calibri"/>
          <w:b/>
          <w:bCs/>
          <w:iCs/>
          <w:u w:val="single"/>
        </w:rPr>
        <w:t>ΠΙΝΑΚΑΣ ΕΙΔΩΝ – ΥΠΗΡΕΣΙΩΝ</w:t>
      </w:r>
    </w:p>
    <w:p w:rsidR="00BF6762" w:rsidRDefault="00BF6762" w:rsidP="00BF6762">
      <w:pPr>
        <w:spacing w:after="0" w:line="240" w:lineRule="auto"/>
        <w:jc w:val="both"/>
        <w:rPr>
          <w:rFonts w:ascii="Calibri" w:hAnsi="Calibri" w:cs="Calibri"/>
          <w:bCs/>
          <w:iCs/>
        </w:rPr>
      </w:pPr>
      <w:r w:rsidRPr="00136058">
        <w:rPr>
          <w:rFonts w:ascii="Calibri" w:hAnsi="Calibri" w:cs="Calibri"/>
          <w:bCs/>
          <w:iCs/>
        </w:rPr>
        <w:br/>
        <w:t xml:space="preserve">Οι ποσότητες των παρεχόμενων εργασιών θα διαμορφωθούν ανάλογα με τις ανάγκες </w:t>
      </w:r>
      <w:r>
        <w:rPr>
          <w:rFonts w:ascii="Calibri" w:hAnsi="Calibri" w:cs="Calibri"/>
          <w:bCs/>
          <w:iCs/>
        </w:rPr>
        <w:t>των διαμερισμάτων στην Αθήνα και στην Νήσο Χίο.</w:t>
      </w:r>
    </w:p>
    <w:p w:rsidR="00A6021E" w:rsidRDefault="00A6021E"/>
    <w:tbl>
      <w:tblPr>
        <w:tblW w:w="9638" w:type="dxa"/>
        <w:tblInd w:w="-10" w:type="dxa"/>
        <w:tblLook w:val="04A0" w:firstRow="1" w:lastRow="0" w:firstColumn="1" w:lastColumn="0" w:noHBand="0" w:noVBand="1"/>
      </w:tblPr>
      <w:tblGrid>
        <w:gridCol w:w="4105"/>
        <w:gridCol w:w="2782"/>
        <w:gridCol w:w="2751"/>
      </w:tblGrid>
      <w:tr w:rsidR="00BF6762" w:rsidRPr="00BE44EF" w:rsidTr="00B01E38">
        <w:trPr>
          <w:trHeight w:val="669"/>
        </w:trPr>
        <w:tc>
          <w:tcPr>
            <w:tcW w:w="4105" w:type="dxa"/>
            <w:tcBorders>
              <w:top w:val="single" w:sz="4" w:space="0" w:color="auto"/>
              <w:left w:val="single" w:sz="8" w:space="0" w:color="auto"/>
              <w:bottom w:val="single" w:sz="8" w:space="0" w:color="auto"/>
              <w:right w:val="nil"/>
            </w:tcBorders>
            <w:shd w:val="clear" w:color="000000" w:fill="FFFFFF"/>
            <w:vAlign w:val="bottom"/>
            <w:hideMark/>
          </w:tcPr>
          <w:p w:rsidR="00BF6762" w:rsidRPr="00BE44EF" w:rsidRDefault="00BF6762" w:rsidP="00B01E38">
            <w:pPr>
              <w:spacing w:after="0" w:line="240" w:lineRule="auto"/>
              <w:jc w:val="center"/>
              <w:rPr>
                <w:rFonts w:ascii="Calibri-Bold" w:hAnsi="Calibri-Bold"/>
                <w:b/>
                <w:bCs/>
                <w:iCs/>
              </w:rPr>
            </w:pPr>
            <w:r w:rsidRPr="00BE44EF">
              <w:rPr>
                <w:rFonts w:ascii="Calibri-Bold" w:hAnsi="Calibri-Bold"/>
                <w:b/>
                <w:bCs/>
                <w:iCs/>
              </w:rPr>
              <w:t>ΠΕΡΙΓΡΑΦΗ ΥΠΗΡΕΣΙΑΣ</w:t>
            </w:r>
          </w:p>
        </w:tc>
        <w:tc>
          <w:tcPr>
            <w:tcW w:w="27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ΠΡΟΎΠΟΛΟΓΙΖΟΜΕΝΗ ΔΑΠΑΝΗ ΧΩΡΙΣ ΦΠΑ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ΠΡΟΫΠΟΛΟΓΙΖΟΜΕΝΗ ΔΑΠΑΝΗ ΜΕ ΦΠΑ (€)</w:t>
            </w:r>
          </w:p>
        </w:tc>
      </w:tr>
      <w:tr w:rsidR="00BF6762" w:rsidRPr="00BE44EF" w:rsidTr="00B01E38">
        <w:trPr>
          <w:trHeight w:val="410"/>
        </w:trPr>
        <w:tc>
          <w:tcPr>
            <w:tcW w:w="4105" w:type="dxa"/>
            <w:tcBorders>
              <w:top w:val="nil"/>
              <w:left w:val="single" w:sz="8" w:space="0" w:color="auto"/>
              <w:bottom w:val="single" w:sz="4" w:space="0" w:color="auto"/>
              <w:right w:val="nil"/>
            </w:tcBorders>
            <w:shd w:val="clear" w:color="auto" w:fill="00B0F0"/>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Α: ΕΡΓΑΣΙΕΣ ΕΛΑΙΟΧΡΩΜΑΤΙΣΜΟΥ</w:t>
            </w:r>
          </w:p>
        </w:tc>
        <w:tc>
          <w:tcPr>
            <w:tcW w:w="2782" w:type="dxa"/>
            <w:tcBorders>
              <w:top w:val="nil"/>
              <w:left w:val="nil"/>
              <w:bottom w:val="nil"/>
              <w:right w:val="nil"/>
            </w:tcBorders>
            <w:shd w:val="clear" w:color="auto" w:fill="00B0F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single" w:sz="4" w:space="0" w:color="auto"/>
              <w:right w:val="single" w:sz="8" w:space="0" w:color="auto"/>
            </w:tcBorders>
            <w:shd w:val="clear" w:color="auto" w:fill="00B0F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(20τμ-30τμ δαπέδου) σε μέτρια κατάσταση</w:t>
            </w:r>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165,00 €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204,60 €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(20τμ-30τμ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272,80 €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(30τμ-40τμ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272,80 €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(30τμ-40τμ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334,80 €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(50τμ-60τμ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334,80 €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(50τμ-60τμ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533,20 €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(60τμ-70τμ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409,20 €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(60τμ-70τμ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682,00 €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(70τμ-80τμ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533,20 €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(70τμ-80τμ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(80τμ-90τμ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607,60 €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(80τμ-90τμ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770,00 €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954,80 €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(90τμ-100τμ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(90τμ-100τμ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880,00 €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1.091,20 €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(&gt;100τμ δαπέδου)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818,40 €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σπιτιού (&gt;100τμ δαπέδου)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1.227,60 €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lastRenderedPageBreak/>
              <w:t>Βάψιμο δωματίου ανά τετραγωνικό πατώματος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δωματίου ανά τετραγωνικό πατώματος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11,16 €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ξύλινης εσωτερικής πόρτας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Βάψιμο ξύλινης εσωτερικής πόρτας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Ελαιοχρωματισμός ανά τετραγωνικό μέτρο για μικρές επιφάνειες σε μέτρια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Ελαιοχρωματισμός ανά τετραγωνικό μέτρο για μικρές επιφάνειες σε κακή κατάσταση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12,40 €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Α</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8.009,00 €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9.931,16 €</w:t>
            </w:r>
          </w:p>
        </w:tc>
      </w:tr>
      <w:tr w:rsidR="00BF6762" w:rsidRPr="00BE44EF" w:rsidTr="00B01E38">
        <w:trPr>
          <w:trHeight w:val="392"/>
        </w:trPr>
        <w:tc>
          <w:tcPr>
            <w:tcW w:w="4105" w:type="dxa"/>
            <w:tcBorders>
              <w:top w:val="nil"/>
              <w:left w:val="single" w:sz="8" w:space="0" w:color="auto"/>
              <w:bottom w:val="nil"/>
              <w:right w:val="nil"/>
            </w:tcBorders>
            <w:shd w:val="clear" w:color="000000" w:fill="FFFFFF"/>
            <w:vAlign w:val="bottom"/>
            <w:hideMark/>
          </w:tcPr>
          <w:p w:rsidR="00BF6762" w:rsidRPr="00BE44EF" w:rsidRDefault="00BF6762" w:rsidP="00B01E38">
            <w:pPr>
              <w:spacing w:after="0" w:line="240" w:lineRule="auto"/>
              <w:jc w:val="both"/>
              <w:rPr>
                <w:rFonts w:ascii="Calibri-Bold" w:hAnsi="Calibri-Bold"/>
                <w:b/>
                <w:bCs/>
                <w:iCs/>
                <w:u w:val="single"/>
              </w:rPr>
            </w:pPr>
          </w:p>
        </w:tc>
        <w:tc>
          <w:tcPr>
            <w:tcW w:w="2782" w:type="dxa"/>
            <w:tcBorders>
              <w:top w:val="nil"/>
              <w:left w:val="nil"/>
              <w:bottom w:val="nil"/>
              <w:right w:val="nil"/>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nil"/>
              <w:right w:val="single" w:sz="8" w:space="0" w:color="auto"/>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FF0000"/>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Β: ΞΥΛΟΥΡΓΙΚΕΣ ΕΡΓΑΣΙΕΣ</w:t>
            </w:r>
          </w:p>
        </w:tc>
        <w:tc>
          <w:tcPr>
            <w:tcW w:w="2782" w:type="dxa"/>
            <w:tcBorders>
              <w:top w:val="single" w:sz="8" w:space="0" w:color="auto"/>
              <w:left w:val="nil"/>
              <w:bottom w:val="single" w:sz="4" w:space="0" w:color="auto"/>
              <w:right w:val="nil"/>
            </w:tcBorders>
            <w:shd w:val="clear" w:color="auto" w:fill="FF000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FF000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374"/>
        </w:trPr>
        <w:tc>
          <w:tcPr>
            <w:tcW w:w="4105" w:type="dxa"/>
            <w:tcBorders>
              <w:top w:val="single" w:sz="8" w:space="0" w:color="auto"/>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επίπλου κουζίνας</w:t>
            </w:r>
            <w:r w:rsidRPr="00BE44EF">
              <w:rPr>
                <w:rFonts w:ascii="Calibri-Bold" w:hAnsi="Calibri-Bold"/>
                <w:bCs/>
                <w:iCs/>
              </w:rPr>
              <w:br/>
              <w:t>(165 x 87 x 55)</w:t>
            </w:r>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πάγκων κουζίνας</w:t>
            </w:r>
            <w:r w:rsidRPr="00BE44EF">
              <w:rPr>
                <w:rFonts w:ascii="Calibri-Bold" w:hAnsi="Calibri-Bold"/>
                <w:bCs/>
                <w:iCs/>
              </w:rPr>
              <w:br/>
              <w:t>(165 x 60 x 60)</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124,00 €</w:t>
            </w:r>
          </w:p>
        </w:tc>
      </w:tr>
      <w:tr w:rsidR="00BF6762" w:rsidRPr="00BE44EF" w:rsidTr="00B01E38">
        <w:trPr>
          <w:trHeight w:val="339"/>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Πήχεις κουζίνας </w:t>
            </w:r>
            <w:r w:rsidRPr="00BE44EF">
              <w:rPr>
                <w:rFonts w:ascii="Calibri-Bold" w:hAnsi="Calibri-Bold"/>
                <w:bCs/>
                <w:iCs/>
              </w:rPr>
              <w:br/>
              <w:t>(30 x 60)</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r>
      <w:tr w:rsidR="00BF6762" w:rsidRPr="00BE44EF" w:rsidTr="00B01E38">
        <w:trPr>
          <w:trHeight w:val="267"/>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Πόρτες-Μεντεσέδες-Κορδόνι</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εσωτερικής πόρτας (πλάνισμα, κόψιμο)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πόρτας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πρόσοψης ντουλαπιού</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Κατασκευή ντουλαπιού κουζίνας /τρέχον μέτρο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μεντεσέ ντουλαπιού</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πρόσοψης συρταριού</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Κατασκευή συρταριού</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συρόμενης εσωτερικής πόρτας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μηχανισμού συρόμενης εσωτερικής πόρτας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148,80 €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μεντεσέ εσωτερικής πόρτας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καπάκι ρολού</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πρόσοψης κουτιού ντουλάπας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74,40 €</w:t>
            </w:r>
          </w:p>
        </w:tc>
      </w:tr>
      <w:tr w:rsidR="00BF6762" w:rsidRPr="00BE44EF" w:rsidTr="00B01E38">
        <w:trPr>
          <w:trHeight w:val="374"/>
        </w:trPr>
        <w:tc>
          <w:tcPr>
            <w:tcW w:w="4105" w:type="dxa"/>
            <w:tcBorders>
              <w:top w:val="nil"/>
              <w:left w:val="single" w:sz="8" w:space="0" w:color="auto"/>
              <w:bottom w:val="single" w:sz="8" w:space="0" w:color="auto"/>
              <w:right w:val="single" w:sz="8" w:space="0" w:color="auto"/>
            </w:tcBorders>
            <w:shd w:val="clear" w:color="auto" w:fill="auto"/>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Κατασκευή ντουλάπας /τετραγωνικό</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186,00 €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Β</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1.326,00 €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1.644,24 €</w:t>
            </w:r>
          </w:p>
        </w:tc>
      </w:tr>
      <w:tr w:rsidR="00BF6762" w:rsidRPr="00BE44EF" w:rsidTr="00B01E38">
        <w:trPr>
          <w:trHeight w:val="392"/>
        </w:trPr>
        <w:tc>
          <w:tcPr>
            <w:tcW w:w="4105" w:type="dxa"/>
            <w:tcBorders>
              <w:top w:val="nil"/>
              <w:left w:val="single" w:sz="8" w:space="0" w:color="auto"/>
              <w:bottom w:val="nil"/>
              <w:right w:val="nil"/>
            </w:tcBorders>
            <w:shd w:val="clear" w:color="000000" w:fill="FFFFFF"/>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 </w:t>
            </w:r>
          </w:p>
        </w:tc>
        <w:tc>
          <w:tcPr>
            <w:tcW w:w="2782" w:type="dxa"/>
            <w:tcBorders>
              <w:top w:val="nil"/>
              <w:left w:val="nil"/>
              <w:bottom w:val="nil"/>
              <w:right w:val="nil"/>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nil"/>
              <w:right w:val="single" w:sz="8" w:space="0" w:color="auto"/>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00B050"/>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Γ: ΗΛΕΚΤΡΟΛΟΓΙΚΕΣ ΕΡΓΑΣΙΕΣ</w:t>
            </w:r>
          </w:p>
        </w:tc>
        <w:tc>
          <w:tcPr>
            <w:tcW w:w="2782" w:type="dxa"/>
            <w:tcBorders>
              <w:top w:val="single" w:sz="8" w:space="0" w:color="auto"/>
              <w:left w:val="nil"/>
              <w:bottom w:val="single" w:sz="4" w:space="0" w:color="auto"/>
              <w:right w:val="nil"/>
            </w:tcBorders>
            <w:shd w:val="clear" w:color="auto" w:fill="00B05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00B05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πρίζας</w:t>
            </w:r>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13,00 €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16,12 €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lastRenderedPageBreak/>
              <w:t>Αλλαγή ντουί</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Τοποθέτηση λαμπτήρων LED</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εστίας κουζίνας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52,08 €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φούρνου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διακόπτη φώτων</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13,00 €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16,12 €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μονοφασικού/τριφασικού </w:t>
            </w:r>
            <w:proofErr w:type="spellStart"/>
            <w:r w:rsidRPr="00BE44EF">
              <w:rPr>
                <w:rFonts w:ascii="Calibri-Bold" w:hAnsi="Calibri-Bold"/>
                <w:bCs/>
                <w:iCs/>
              </w:rPr>
              <w:t>ρελέ</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65,00/80,00</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80,60/99,20</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μονοφασικού/τριφασικού πίνακα</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75,00/110,00</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93,00/136,40</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Δημιουργία γραμμής ενισχυμένης πρίζας/μέτρο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Πίνακας μονοφασικός (5 γραμμών)/τριφασικός (10 γραμμών)</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140,00/220,00</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173,60/272,80</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αντίσταση θερμοσίφωνα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86,80 €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διακόπτη πίνακα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39,68 €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καλωδίου θερμοσίφωνα/μέτρο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ασφάλειας πίνακα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27,28 €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θερμοστάτη θερμοσίφωνα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39,68 €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Αγορά απορροφητήρα συρόμενος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148,80 €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Αγορά απορροφητήρας καμινάδα/</w:t>
            </w:r>
            <w:proofErr w:type="spellStart"/>
            <w:r w:rsidRPr="00BE44EF">
              <w:rPr>
                <w:rFonts w:ascii="Calibri-Bold" w:hAnsi="Calibri-Bold"/>
                <w:bCs/>
                <w:iCs/>
              </w:rPr>
              <w:t>τεμ</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176,08 €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Αγορά απορροφητήρας κρεμαστός/</w:t>
            </w:r>
            <w:proofErr w:type="spellStart"/>
            <w:r w:rsidRPr="00BE44EF">
              <w:rPr>
                <w:rFonts w:ascii="Calibri-Bold" w:hAnsi="Calibri-Bold"/>
                <w:bCs/>
                <w:iCs/>
              </w:rPr>
              <w:t>τεμ</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95,48 €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Σωλήνας εξαερισμού απορροφητήρα/μέτρο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Τοποθέτηση απορροφητήρα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απορροφητήρα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γείωσης /μέτρο</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8,68 €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Σύνδεση κουζίνας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27,00 €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33,48 €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καλωδίων πίνακα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Ενίσχυση γραμμής γενικής παροχής (μονοφασική/τριφασική)/μέτρο</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15,00/18,00</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18,60/22,32</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Ασφάλεια πίνακα/</w:t>
            </w:r>
            <w:proofErr w:type="spellStart"/>
            <w:r w:rsidRPr="00BE44EF">
              <w:rPr>
                <w:rFonts w:ascii="Calibri-Bold" w:hAnsi="Calibri-Bold"/>
                <w:bCs/>
                <w:iCs/>
              </w:rPr>
              <w:t>τεμ</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Γ</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792,00 €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982,08 €</w:t>
            </w:r>
          </w:p>
        </w:tc>
      </w:tr>
      <w:tr w:rsidR="00BF6762" w:rsidRPr="00BE44EF" w:rsidTr="00B01E38">
        <w:trPr>
          <w:trHeight w:val="330"/>
        </w:trPr>
        <w:tc>
          <w:tcPr>
            <w:tcW w:w="4105" w:type="dxa"/>
            <w:tcBorders>
              <w:top w:val="nil"/>
              <w:left w:val="single" w:sz="8" w:space="0" w:color="auto"/>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82" w:type="dxa"/>
            <w:tcBorders>
              <w:top w:val="nil"/>
              <w:left w:val="nil"/>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nil"/>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9CC2E5" w:themeFill="accent1" w:themeFillTint="99"/>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Δ: ΥΔΡΑΥΛΙΚΕΣ ΕΡΓΑΣΙΕΣ</w:t>
            </w:r>
          </w:p>
        </w:tc>
        <w:tc>
          <w:tcPr>
            <w:tcW w:w="2782" w:type="dxa"/>
            <w:tcBorders>
              <w:top w:val="single" w:sz="8" w:space="0" w:color="auto"/>
              <w:left w:val="nil"/>
              <w:bottom w:val="single" w:sz="4" w:space="0" w:color="auto"/>
              <w:right w:val="nil"/>
            </w:tcBorders>
            <w:shd w:val="clear" w:color="auto" w:fill="9CC2E5" w:themeFill="accent1" w:themeFillTint="99"/>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9CC2E5" w:themeFill="accent1" w:themeFillTint="99"/>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μπαταρίας νεροχύτη </w:t>
            </w:r>
            <w:proofErr w:type="spellStart"/>
            <w:r w:rsidRPr="00BE44EF">
              <w:rPr>
                <w:rFonts w:ascii="Calibri-Bold" w:hAnsi="Calibri-Bold"/>
                <w:bCs/>
                <w:iCs/>
              </w:rPr>
              <w:t>επιτοίχια</w:t>
            </w:r>
            <w:proofErr w:type="spellEnd"/>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μπαταρίας νεροχύτη πάγκου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μπαταρίας νιπτήρα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μπαταρίας μπανιέρας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lastRenderedPageBreak/>
              <w:t>Αλλαγή σιφόνι νεροχύτη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σιφόνι νιπτήρα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μηχανισμού στο καζανάκι</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φλοτέρ καζανάκι</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καζανάκι υψηλής πίεσης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καζανάκι χαμηλής πίεσης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καζανάκι τύπου Νιαγάρα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καζανάκι τύπου 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w:t>
            </w:r>
            <w:proofErr w:type="spellStart"/>
            <w:r w:rsidRPr="00BE44EF">
              <w:rPr>
                <w:rFonts w:ascii="Calibri-Bold" w:hAnsi="Calibri-Bold"/>
                <w:bCs/>
                <w:iCs/>
              </w:rPr>
              <w:t>ρουξούνι</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σπιράλ σύνδεσης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νιπτήρα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λεκάνης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110,00 €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136,40 €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Σπιράλ και τηλέφωνο στη μπανιέρα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καπάκι τουαλέτας απλό πλαστικό</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καπάκι τουαλέτας ενισχυμένο πλαστικό</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θερμοσίφωνα</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Ξεβούλωμα νεροχύτη/νιπτήρα/μπανιέρας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Ξεβούλωμα γραμμής αποχέτευσης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Έλεγχος διαρροής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Σύνδεση παροχής πλυντηρίου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Σύνδεση αποχέτευσης πλυντηρίου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Τοποθέτηση βρύσης υγιεινής στη λεκάνη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γωνιακού διακόπτη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Εύρεση/επισκευή βλάβης μέσω σκαψίματος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Απόφραξη λεκάνης</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νεροχύτη</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διακόπτη καλοριφέρ</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Δ</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1.455,00 €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1.804,20 €</w:t>
            </w:r>
          </w:p>
        </w:tc>
      </w:tr>
      <w:tr w:rsidR="00BF6762" w:rsidRPr="00BE44EF" w:rsidTr="00B01E38">
        <w:trPr>
          <w:trHeight w:val="330"/>
        </w:trPr>
        <w:tc>
          <w:tcPr>
            <w:tcW w:w="4105" w:type="dxa"/>
            <w:tcBorders>
              <w:top w:val="nil"/>
              <w:left w:val="single" w:sz="8" w:space="0" w:color="auto"/>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82" w:type="dxa"/>
            <w:tcBorders>
              <w:top w:val="nil"/>
              <w:left w:val="nil"/>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nil"/>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ACB9CA" w:themeFill="text2" w:themeFillTint="66"/>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Ε: ΕΡΓΑΣΙΕΣ ΕΠΙΔΙΟΡΘΩΣΗΣ ΑΛΟΥΜΙΝΙΩΝ</w:t>
            </w:r>
          </w:p>
        </w:tc>
        <w:tc>
          <w:tcPr>
            <w:tcW w:w="2782" w:type="dxa"/>
            <w:tcBorders>
              <w:top w:val="single" w:sz="8" w:space="0" w:color="auto"/>
              <w:left w:val="nil"/>
              <w:bottom w:val="single" w:sz="4" w:space="0" w:color="auto"/>
              <w:right w:val="nil"/>
            </w:tcBorders>
            <w:shd w:val="clear" w:color="auto" w:fill="ACB9CA" w:themeFill="text2" w:themeFillTint="66"/>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ACB9CA" w:themeFill="text2" w:themeFillTint="66"/>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Αντικατάσταση πόμολο αλουμινένιας μπαλκονόπορτας</w:t>
            </w:r>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20,00 €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lastRenderedPageBreak/>
              <w:t>Αντικατάσταση μηχανισμού ανάκλησης σε μπαλκονόπορτα αλουμινίου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Αφαίρεση και επανατοποθέτηση μεντεσέδων σιδήρων και βάψιμο. Τοποθέτηση νέο χερούλι</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ανάκλησης σε παράθυρο μπάνιου</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Επισκευή εξωτερικής καγκελόπορτας </w:t>
            </w:r>
            <w:proofErr w:type="spellStart"/>
            <w:r w:rsidRPr="00BE44EF">
              <w:rPr>
                <w:rFonts w:ascii="Calibri-Bold" w:hAnsi="Calibri-Bold"/>
                <w:bCs/>
                <w:iCs/>
              </w:rPr>
              <w:t>εστιας</w:t>
            </w:r>
            <w:proofErr w:type="spellEnd"/>
            <w:r w:rsidRPr="00BE44EF">
              <w:rPr>
                <w:rFonts w:ascii="Calibri-Bold" w:hAnsi="Calibri-Bold"/>
                <w:bCs/>
                <w:iCs/>
              </w:rPr>
              <w:t xml:space="preserve"> </w:t>
            </w:r>
            <w:proofErr w:type="spellStart"/>
            <w:r w:rsidRPr="00BE44EF">
              <w:rPr>
                <w:rFonts w:ascii="Calibri-Bold" w:hAnsi="Calibri-Bold"/>
                <w:bCs/>
                <w:iCs/>
              </w:rPr>
              <w:t>προσφυγων</w:t>
            </w:r>
            <w:proofErr w:type="spellEnd"/>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Αντικατάσταση μηχανισμού ανάκλησης σε παράθυρο </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Ε</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370,00 €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458,80 €</w:t>
            </w:r>
          </w:p>
        </w:tc>
      </w:tr>
      <w:tr w:rsidR="00BF6762" w:rsidRPr="00BE44EF" w:rsidTr="00B01E38">
        <w:trPr>
          <w:trHeight w:val="330"/>
        </w:trPr>
        <w:tc>
          <w:tcPr>
            <w:tcW w:w="4105" w:type="dxa"/>
            <w:tcBorders>
              <w:top w:val="nil"/>
              <w:left w:val="single" w:sz="8" w:space="0" w:color="auto"/>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 </w:t>
            </w:r>
          </w:p>
        </w:tc>
        <w:tc>
          <w:tcPr>
            <w:tcW w:w="2782" w:type="dxa"/>
            <w:tcBorders>
              <w:top w:val="nil"/>
              <w:left w:val="nil"/>
              <w:bottom w:val="nil"/>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 </w:t>
            </w:r>
          </w:p>
        </w:tc>
        <w:tc>
          <w:tcPr>
            <w:tcW w:w="2751" w:type="dxa"/>
            <w:tcBorders>
              <w:top w:val="nil"/>
              <w:left w:val="nil"/>
              <w:bottom w:val="nil"/>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FFD966" w:themeFill="accent4" w:themeFillTint="99"/>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Ζ: ΕΡΓΑΣΙΕΣ ΑΠΟΚΑΤΑΣΤΑΣΗΣ ΤΖΑΜΙΩΝ &amp; ΠΛΕΞΙΓΚΛΑΣ</w:t>
            </w:r>
          </w:p>
        </w:tc>
        <w:tc>
          <w:tcPr>
            <w:tcW w:w="2782" w:type="dxa"/>
            <w:tcBorders>
              <w:top w:val="single" w:sz="8" w:space="0" w:color="auto"/>
              <w:left w:val="nil"/>
              <w:bottom w:val="single" w:sz="4" w:space="0" w:color="auto"/>
              <w:right w:val="nil"/>
            </w:tcBorders>
            <w:shd w:val="clear" w:color="auto" w:fill="FFD966" w:themeFill="accent4" w:themeFillTint="99"/>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FFD966" w:themeFill="accent4" w:themeFillTint="99"/>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ξύλινη μπαλκονόπορτα, διαστάσεων 50x170cm</w:t>
            </w:r>
          </w:p>
        </w:tc>
        <w:tc>
          <w:tcPr>
            <w:tcW w:w="2782"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single" w:sz="8" w:space="0" w:color="auto"/>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ξύλινη μπαλκονόπορτα, διαστάσεων 50x110cm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ξύλινο παράθυρο διαστάσεων 60x50cm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μπαλκονόπορτα αλουμινίου, διαστάσεων 100x210cm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148,80 €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μπαλκονόπορτα αλουμινίου, διαστάσεων 120x100cm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111,60 €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proofErr w:type="spellStart"/>
            <w:r w:rsidRPr="00BE44EF">
              <w:rPr>
                <w:rFonts w:ascii="Calibri-Bold" w:hAnsi="Calibri-Bold"/>
                <w:bCs/>
                <w:iCs/>
              </w:rPr>
              <w:t>Plexiglass</w:t>
            </w:r>
            <w:proofErr w:type="spellEnd"/>
            <w:r w:rsidRPr="00BE44EF">
              <w:rPr>
                <w:rFonts w:ascii="Calibri-Bold" w:hAnsi="Calibri-Bold"/>
                <w:bCs/>
                <w:iCs/>
              </w:rPr>
              <w:t xml:space="preserve"> σε ξύλινη μπαλκονόπορτα, διαστάσεων από 60x170cm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80,00 €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99,20 €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proofErr w:type="spellStart"/>
            <w:r w:rsidRPr="00BE44EF">
              <w:rPr>
                <w:rFonts w:ascii="Calibri-Bold" w:hAnsi="Calibri-Bold"/>
                <w:bCs/>
                <w:iCs/>
              </w:rPr>
              <w:t>Plexiglass</w:t>
            </w:r>
            <w:proofErr w:type="spellEnd"/>
            <w:r w:rsidRPr="00BE44EF">
              <w:rPr>
                <w:rFonts w:ascii="Calibri-Bold" w:hAnsi="Calibri-Bold"/>
                <w:bCs/>
                <w:iCs/>
              </w:rPr>
              <w:t xml:space="preserve"> σε ξύλινο παράθυρο, διαστάσεων 60x50cm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proofErr w:type="spellStart"/>
            <w:r w:rsidRPr="00BE44EF">
              <w:rPr>
                <w:rFonts w:ascii="Calibri-Bold" w:hAnsi="Calibri-Bold"/>
                <w:bCs/>
                <w:iCs/>
              </w:rPr>
              <w:t>Plexiglass</w:t>
            </w:r>
            <w:proofErr w:type="spellEnd"/>
            <w:r w:rsidRPr="00BE44EF">
              <w:rPr>
                <w:rFonts w:ascii="Calibri-Bold" w:hAnsi="Calibri-Bold"/>
                <w:bCs/>
                <w:iCs/>
              </w:rPr>
              <w:t xml:space="preserve"> σε μπαλκονόπορτα αλουμινίου, διαστάσεων 110x210cm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proofErr w:type="spellStart"/>
            <w:r w:rsidRPr="00BE44EF">
              <w:rPr>
                <w:rFonts w:ascii="Calibri-Bold" w:hAnsi="Calibri-Bold"/>
                <w:bCs/>
                <w:iCs/>
              </w:rPr>
              <w:t>Plexiglass</w:t>
            </w:r>
            <w:proofErr w:type="spellEnd"/>
            <w:r w:rsidRPr="00BE44EF">
              <w:rPr>
                <w:rFonts w:ascii="Calibri-Bold" w:hAnsi="Calibri-Bold"/>
                <w:bCs/>
                <w:iCs/>
              </w:rPr>
              <w:t xml:space="preserve"> σε ξύλινη μπαλκονόπορτα, διαστάσεων 70x210cm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124,00 €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Τζάμι σε εσωτερική συρόμενη πόρτα διαστάσεων 50x170cm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74,40 €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proofErr w:type="spellStart"/>
            <w:r w:rsidRPr="00BE44EF">
              <w:rPr>
                <w:rFonts w:ascii="Calibri-Bold" w:hAnsi="Calibri-Bold"/>
                <w:bCs/>
                <w:iCs/>
              </w:rPr>
              <w:t>Plexiglass</w:t>
            </w:r>
            <w:proofErr w:type="spellEnd"/>
            <w:r w:rsidRPr="00BE44EF">
              <w:rPr>
                <w:rFonts w:ascii="Calibri-Bold" w:hAnsi="Calibri-Bold"/>
                <w:bCs/>
                <w:iCs/>
              </w:rPr>
              <w:t xml:space="preserve"> σε εσωτερική συρόμενη πόρτα, διαστάσεων 50x170cm</w:t>
            </w:r>
          </w:p>
        </w:tc>
        <w:tc>
          <w:tcPr>
            <w:tcW w:w="2782"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90,00 €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111,60 €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Ζ</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860,00 €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1.066,40 €</w:t>
            </w:r>
          </w:p>
        </w:tc>
      </w:tr>
      <w:tr w:rsidR="00BF6762" w:rsidRPr="00BE44EF" w:rsidTr="00B01E38">
        <w:trPr>
          <w:trHeight w:val="374"/>
        </w:trPr>
        <w:tc>
          <w:tcPr>
            <w:tcW w:w="4105" w:type="dxa"/>
            <w:tcBorders>
              <w:top w:val="nil"/>
              <w:left w:val="nil"/>
              <w:bottom w:val="nil"/>
              <w:right w:val="nil"/>
            </w:tcBorders>
            <w:shd w:val="clear" w:color="000000" w:fill="FFFFFF"/>
            <w:vAlign w:val="bottom"/>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82" w:type="dxa"/>
            <w:tcBorders>
              <w:top w:val="nil"/>
              <w:left w:val="nil"/>
              <w:bottom w:val="nil"/>
              <w:right w:val="nil"/>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nil"/>
              <w:left w:val="nil"/>
              <w:bottom w:val="nil"/>
              <w:right w:val="nil"/>
            </w:tcBorders>
            <w:shd w:val="clear" w:color="000000" w:fill="FFFFFF"/>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4" w:space="0" w:color="auto"/>
              <w:right w:val="nil"/>
            </w:tcBorders>
            <w:shd w:val="clear" w:color="auto" w:fill="FFFF00"/>
            <w:vAlign w:val="bottom"/>
            <w:hideMark/>
          </w:tcPr>
          <w:p w:rsidR="00BF6762" w:rsidRPr="00BE44EF" w:rsidRDefault="00BF6762" w:rsidP="00B01E38">
            <w:pPr>
              <w:spacing w:after="0" w:line="240" w:lineRule="auto"/>
              <w:jc w:val="both"/>
              <w:rPr>
                <w:rFonts w:ascii="Calibri-Bold" w:hAnsi="Calibri-Bold"/>
                <w:b/>
                <w:bCs/>
                <w:iCs/>
                <w:u w:val="single"/>
              </w:rPr>
            </w:pPr>
            <w:r w:rsidRPr="00BE44EF">
              <w:rPr>
                <w:rFonts w:ascii="Calibri-Bold" w:hAnsi="Calibri-Bold"/>
                <w:b/>
                <w:bCs/>
                <w:iCs/>
                <w:u w:val="single"/>
              </w:rPr>
              <w:t>ΟΜΑΔΑ Η: ΕΡΓΑΣΙΕΣ ΣΕ ΠΟΡΤΕΣ &amp; ΡΟΛΑ</w:t>
            </w:r>
          </w:p>
        </w:tc>
        <w:tc>
          <w:tcPr>
            <w:tcW w:w="2782" w:type="dxa"/>
            <w:tcBorders>
              <w:top w:val="single" w:sz="8" w:space="0" w:color="auto"/>
              <w:left w:val="nil"/>
              <w:bottom w:val="single" w:sz="4" w:space="0" w:color="auto"/>
              <w:right w:val="nil"/>
            </w:tcBorders>
            <w:shd w:val="clear" w:color="auto" w:fill="FFFF0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c>
          <w:tcPr>
            <w:tcW w:w="2751" w:type="dxa"/>
            <w:tcBorders>
              <w:top w:val="single" w:sz="8" w:space="0" w:color="auto"/>
              <w:left w:val="nil"/>
              <w:bottom w:val="single" w:sz="4" w:space="0" w:color="auto"/>
              <w:right w:val="single" w:sz="8" w:space="0" w:color="auto"/>
            </w:tcBorders>
            <w:shd w:val="clear" w:color="auto" w:fill="FFFF00"/>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w:t>
            </w:r>
          </w:p>
        </w:tc>
      </w:tr>
      <w:tr w:rsidR="00BF6762" w:rsidRPr="00BE44EF" w:rsidTr="00B01E38">
        <w:trPr>
          <w:trHeight w:val="410"/>
        </w:trPr>
        <w:tc>
          <w:tcPr>
            <w:tcW w:w="41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κλειδαριάς μεσόπορτας παλαιού τύπου</w:t>
            </w:r>
          </w:p>
        </w:tc>
        <w:tc>
          <w:tcPr>
            <w:tcW w:w="2782" w:type="dxa"/>
            <w:tcBorders>
              <w:top w:val="single" w:sz="8" w:space="0" w:color="auto"/>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50 €</w:t>
            </w:r>
          </w:p>
        </w:tc>
        <w:tc>
          <w:tcPr>
            <w:tcW w:w="2751" w:type="dxa"/>
            <w:tcBorders>
              <w:top w:val="single" w:sz="8" w:space="0" w:color="auto"/>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κλειδαριάς μεσόπορτας απλής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κλειδαριάς εξώπορτας κύλινδρος απλός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κλειδαριάς εξώπορτας κύλινδρος ασφαλείας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χερούλι μεσόπορτας </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19 €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lastRenderedPageBreak/>
              <w:t>Αλλαγή χερούλι μπαλκονιού</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Τοποθέτηση γωνιές για λουκέτα σε συρόμενη πόρτα</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15 €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19 €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Άνοιγμα πόρτας ασφαλείας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49,60 €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Άνοιγμα ξύλινης πόρτας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συνδυασμού σε κλειδαριά πόρτας ασφαλείας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60€/170€</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κλειδαριάς </w:t>
            </w:r>
            <w:proofErr w:type="spellStart"/>
            <w:r w:rsidRPr="00BE44EF">
              <w:rPr>
                <w:rFonts w:ascii="Calibri-Bold" w:hAnsi="Calibri-Bold"/>
                <w:bCs/>
                <w:iCs/>
              </w:rPr>
              <w:t>κουτιαστής</w:t>
            </w:r>
            <w:proofErr w:type="spellEnd"/>
            <w:r w:rsidRPr="00BE44EF">
              <w:rPr>
                <w:rFonts w:ascii="Calibri-Bold" w:hAnsi="Calibri-Bold"/>
                <w:bCs/>
                <w:iCs/>
              </w:rPr>
              <w:t xml:space="preserve"> με κλειδί ασφαλείας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149 €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κλειδαριάς </w:t>
            </w:r>
            <w:proofErr w:type="spellStart"/>
            <w:r w:rsidRPr="00BE44EF">
              <w:rPr>
                <w:rFonts w:ascii="Calibri-Bold" w:hAnsi="Calibri-Bold"/>
                <w:bCs/>
                <w:iCs/>
              </w:rPr>
              <w:t>κουτιαστής</w:t>
            </w:r>
            <w:proofErr w:type="spellEnd"/>
            <w:r w:rsidRPr="00BE44EF">
              <w:rPr>
                <w:rFonts w:ascii="Calibri-Bold" w:hAnsi="Calibri-Bold"/>
                <w:bCs/>
                <w:iCs/>
              </w:rPr>
              <w:t xml:space="preserve"> με απλό κλειδί</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74 €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κλειδαριάς σε πόρτα ασφαλείας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 150€/350€</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ιμάντα ξύλινου ρολού</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37 €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Επισκευή ιμάντα ρολού αλουμινίου</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45 €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56 €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ρουλεμάν ρολού</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24,80 €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φουρκέτες ρολού</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18,60 €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23 €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άξονα ρολού</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120 €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149 €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μηχανισμού σε ξύλινο ρολό</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35 €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δίσκου σε ξύλινο ρολό</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62 €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δίσκου σε ρολό αλουμινίου</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45 €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56 €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ρολού παραθύρου</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130 €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161 €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Αλλαγή ρολού μπαλκονόπορτας</w:t>
            </w:r>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250 €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310 €</w:t>
            </w:r>
          </w:p>
        </w:tc>
      </w:tr>
      <w:tr w:rsidR="00BF6762" w:rsidRPr="00BE44EF" w:rsidTr="00B01E38">
        <w:trPr>
          <w:trHeight w:val="410"/>
        </w:trPr>
        <w:tc>
          <w:tcPr>
            <w:tcW w:w="4105" w:type="dxa"/>
            <w:tcBorders>
              <w:top w:val="nil"/>
              <w:left w:val="single" w:sz="8" w:space="0" w:color="auto"/>
              <w:bottom w:val="single" w:sz="8" w:space="0" w:color="auto"/>
              <w:right w:val="single" w:sz="8" w:space="0" w:color="auto"/>
            </w:tcBorders>
            <w:shd w:val="clear" w:color="auto" w:fill="auto"/>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 xml:space="preserve">Αλλαγή ρολού </w:t>
            </w:r>
            <w:proofErr w:type="spellStart"/>
            <w:r w:rsidRPr="00BE44EF">
              <w:rPr>
                <w:rFonts w:ascii="Calibri-Bold" w:hAnsi="Calibri-Bold"/>
                <w:bCs/>
                <w:iCs/>
              </w:rPr>
              <w:t>υπέρδιπλου</w:t>
            </w:r>
            <w:proofErr w:type="spellEnd"/>
          </w:p>
        </w:tc>
        <w:tc>
          <w:tcPr>
            <w:tcW w:w="2782"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350 €</w:t>
            </w:r>
          </w:p>
        </w:tc>
        <w:tc>
          <w:tcPr>
            <w:tcW w:w="2751" w:type="dxa"/>
            <w:tcBorders>
              <w:top w:val="nil"/>
              <w:left w:val="nil"/>
              <w:bottom w:val="single" w:sz="8" w:space="0" w:color="auto"/>
              <w:right w:val="single" w:sz="8" w:space="0" w:color="auto"/>
            </w:tcBorders>
            <w:shd w:val="clear" w:color="auto" w:fill="auto"/>
            <w:noWrap/>
            <w:vAlign w:val="center"/>
            <w:hideMark/>
          </w:tcPr>
          <w:p w:rsidR="00BF6762" w:rsidRPr="00BE44EF" w:rsidRDefault="00BF6762" w:rsidP="00B01E38">
            <w:pPr>
              <w:spacing w:after="0" w:line="240" w:lineRule="auto"/>
              <w:jc w:val="both"/>
              <w:rPr>
                <w:rFonts w:ascii="Calibri-Bold" w:hAnsi="Calibri-Bold"/>
                <w:bCs/>
                <w:iCs/>
              </w:rPr>
            </w:pPr>
            <w:r w:rsidRPr="00BE44EF">
              <w:rPr>
                <w:rFonts w:ascii="Calibri-Bold" w:hAnsi="Calibri-Bold"/>
                <w:bCs/>
                <w:iCs/>
              </w:rPr>
              <w:t>434 €</w:t>
            </w:r>
          </w:p>
        </w:tc>
      </w:tr>
      <w:tr w:rsidR="00BF6762" w:rsidRPr="00BE44EF" w:rsidTr="00B01E38">
        <w:trPr>
          <w:trHeight w:val="330"/>
        </w:trPr>
        <w:tc>
          <w:tcPr>
            <w:tcW w:w="4105" w:type="dxa"/>
            <w:tcBorders>
              <w:top w:val="nil"/>
              <w:left w:val="single" w:sz="8" w:space="0" w:color="auto"/>
              <w:bottom w:val="single" w:sz="8" w:space="0" w:color="auto"/>
              <w:right w:val="nil"/>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Σύνολο ομάδας Η</w:t>
            </w:r>
          </w:p>
        </w:tc>
        <w:tc>
          <w:tcPr>
            <w:tcW w:w="2782" w:type="dxa"/>
            <w:tcBorders>
              <w:top w:val="nil"/>
              <w:left w:val="single" w:sz="8" w:space="0" w:color="auto"/>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1.547,20 €</w:t>
            </w:r>
          </w:p>
        </w:tc>
        <w:tc>
          <w:tcPr>
            <w:tcW w:w="2751" w:type="dxa"/>
            <w:tcBorders>
              <w:top w:val="nil"/>
              <w:left w:val="nil"/>
              <w:bottom w:val="single" w:sz="8" w:space="0" w:color="auto"/>
              <w:right w:val="single" w:sz="8" w:space="0" w:color="auto"/>
            </w:tcBorders>
            <w:shd w:val="clear" w:color="000000" w:fill="FFFFFF"/>
            <w:vAlign w:val="center"/>
            <w:hideMark/>
          </w:tcPr>
          <w:p w:rsidR="00BF6762" w:rsidRPr="00BE44EF" w:rsidRDefault="00BF6762" w:rsidP="00B01E38">
            <w:pPr>
              <w:spacing w:after="0" w:line="240" w:lineRule="auto"/>
              <w:jc w:val="both"/>
              <w:rPr>
                <w:rFonts w:ascii="Calibri-Bold" w:hAnsi="Calibri-Bold"/>
                <w:b/>
                <w:bCs/>
                <w:iCs/>
              </w:rPr>
            </w:pPr>
            <w:r w:rsidRPr="00BE44EF">
              <w:rPr>
                <w:rFonts w:ascii="Calibri-Bold" w:hAnsi="Calibri-Bold"/>
                <w:b/>
                <w:bCs/>
                <w:iCs/>
              </w:rPr>
              <w:t>2.178,93 €</w:t>
            </w:r>
          </w:p>
        </w:tc>
      </w:tr>
    </w:tbl>
    <w:p w:rsidR="00BF6762" w:rsidRDefault="00BF6762"/>
    <w:p w:rsidR="00BF6762" w:rsidRPr="00137E78" w:rsidRDefault="00BF6762" w:rsidP="00BF6762">
      <w:pPr>
        <w:spacing w:after="0" w:line="240" w:lineRule="auto"/>
        <w:jc w:val="both"/>
        <w:rPr>
          <w:rFonts w:ascii="Calibri" w:hAnsi="Calibri" w:cs="Calibri"/>
          <w:b/>
          <w:bCs/>
          <w:iCs/>
        </w:rPr>
      </w:pPr>
      <w:r w:rsidRPr="00137E78">
        <w:rPr>
          <w:rFonts w:ascii="Calibri" w:hAnsi="Calibri" w:cs="Calibri"/>
          <w:b/>
          <w:bCs/>
          <w:iCs/>
        </w:rPr>
        <w:t>ΜΕΡΟΣ Β ‐ ΟΙΚΟΝΟΜΙΚΟ ΑΝΤΙΚΕΙΜΕΝΟ ΤΗΣ ΣΥΜΒΑΣΗΣ</w:t>
      </w:r>
    </w:p>
    <w:p w:rsidR="00BF6762" w:rsidRPr="00137E78" w:rsidRDefault="00BF6762" w:rsidP="00BF6762">
      <w:pPr>
        <w:spacing w:after="0" w:line="240" w:lineRule="auto"/>
        <w:jc w:val="both"/>
        <w:rPr>
          <w:rFonts w:ascii="Calibri" w:hAnsi="Calibri" w:cs="Calibri"/>
          <w:bCs/>
          <w:iCs/>
        </w:rPr>
      </w:pPr>
      <w:r w:rsidRPr="00137E78">
        <w:rPr>
          <w:rFonts w:ascii="Calibri" w:hAnsi="Calibri" w:cs="Calibri"/>
          <w:b/>
          <w:bCs/>
          <w:iCs/>
        </w:rPr>
        <w:br/>
      </w:r>
      <w:r w:rsidRPr="00137E78">
        <w:rPr>
          <w:rFonts w:ascii="Calibri" w:hAnsi="Calibri" w:cs="Calibri"/>
          <w:bCs/>
          <w:iCs/>
        </w:rPr>
        <w:t>Η εκτιμώμενη αξία της σύμβασης ανέρχεται έως του ποσού των 147.312,00 € συμπεριλαμβανομένου ΦΠΑ</w:t>
      </w:r>
      <w:r w:rsidRPr="00137E78">
        <w:rPr>
          <w:rFonts w:ascii="Calibri" w:hAnsi="Calibri" w:cs="Calibri"/>
          <w:bCs/>
          <w:iCs/>
        </w:rPr>
        <w:br/>
        <w:t xml:space="preserve">(προϋπολογισμός χωρίς ΦΠΑ: 118.800,00 € ΦΠΑ : 28.512,00 €). </w:t>
      </w:r>
    </w:p>
    <w:p w:rsidR="00BF6762" w:rsidRPr="00137E78" w:rsidRDefault="00BF6762" w:rsidP="00BF6762">
      <w:pPr>
        <w:spacing w:after="0" w:line="240" w:lineRule="auto"/>
        <w:jc w:val="both"/>
        <w:rPr>
          <w:rFonts w:ascii="Calibri" w:hAnsi="Calibri" w:cs="Calibri"/>
          <w:bCs/>
          <w:iCs/>
        </w:rPr>
      </w:pPr>
      <w:r w:rsidRPr="00137E78">
        <w:rPr>
          <w:rFonts w:ascii="Calibri" w:hAnsi="Calibri" w:cs="Calibri"/>
          <w:b/>
          <w:bCs/>
          <w:iCs/>
        </w:rPr>
        <w:br/>
      </w:r>
      <w:r w:rsidRPr="00137E78">
        <w:rPr>
          <w:rFonts w:ascii="Calibri" w:hAnsi="Calibri" w:cs="Calibri"/>
          <w:bCs/>
          <w:iCs/>
        </w:rPr>
        <w:t>Η πιστοποίηση των τελικών σχετικών εργασιών‐υπηρεσιών θα γίνεται με την τελική σχετική έγκριση των αρμοδίων υπευθύνων όπως αυτή θα οριστούν από την αρμόδια επιτροπή διαγωνισμού της ΑΡΣΙΣ – Κ.Ο.Υ.Ν.</w:t>
      </w:r>
    </w:p>
    <w:p w:rsidR="00BF6762" w:rsidRPr="00137E78" w:rsidRDefault="00BF6762" w:rsidP="00BF6762">
      <w:pPr>
        <w:spacing w:after="0" w:line="240" w:lineRule="auto"/>
        <w:jc w:val="both"/>
        <w:rPr>
          <w:rFonts w:ascii="Calibri" w:hAnsi="Calibri" w:cs="Calibri"/>
          <w:bCs/>
          <w:iCs/>
        </w:rPr>
      </w:pPr>
      <w:r w:rsidRPr="00137E78">
        <w:rPr>
          <w:rFonts w:ascii="Calibri" w:hAnsi="Calibri" w:cs="Calibri"/>
          <w:b/>
          <w:bCs/>
          <w:iCs/>
        </w:rPr>
        <w:br/>
      </w:r>
      <w:r w:rsidRPr="00137E78">
        <w:rPr>
          <w:rFonts w:ascii="Calibri" w:hAnsi="Calibri" w:cs="Calibri"/>
          <w:bCs/>
          <w:iCs/>
        </w:rPr>
        <w:t>Η διάρκεια της σύμβασης ορίζεται σε πέντε (5) μήνες από την υπογραφή της και ανάρτηση της στο</w:t>
      </w:r>
      <w:r w:rsidRPr="00137E78">
        <w:rPr>
          <w:rFonts w:ascii="Calibri" w:hAnsi="Calibri" w:cs="Calibri"/>
          <w:bCs/>
          <w:iCs/>
        </w:rPr>
        <w:br/>
        <w:t>ΚΗΜΔΗΣ.</w:t>
      </w:r>
      <w:r w:rsidRPr="00137E78">
        <w:rPr>
          <w:rFonts w:ascii="Calibri" w:hAnsi="Calibri" w:cs="Calibri"/>
          <w:bCs/>
          <w:iCs/>
        </w:rPr>
        <w:br/>
        <w:t>Αναλυτική περιγραφή του φυσικού και οικονομικού αντικειμένου της σύμβασης δίδεται στο ΠΑΡΑΡΤΗΜΑ</w:t>
      </w:r>
      <w:r w:rsidRPr="00137E78">
        <w:rPr>
          <w:rFonts w:ascii="Calibri" w:hAnsi="Calibri" w:cs="Calibri"/>
          <w:bCs/>
          <w:iCs/>
        </w:rPr>
        <w:br/>
        <w:t>Ι της παρούσας διακήρυξης.</w:t>
      </w:r>
    </w:p>
    <w:p w:rsidR="00BF6762" w:rsidRPr="00137E78" w:rsidRDefault="00BF6762" w:rsidP="00BF6762">
      <w:pPr>
        <w:spacing w:after="0" w:line="240" w:lineRule="auto"/>
        <w:jc w:val="both"/>
        <w:rPr>
          <w:rFonts w:ascii="Calibri" w:hAnsi="Calibri" w:cs="Calibri"/>
          <w:bCs/>
          <w:iCs/>
        </w:rPr>
      </w:pPr>
      <w:r w:rsidRPr="00137E78">
        <w:rPr>
          <w:rFonts w:ascii="Calibri" w:hAnsi="Calibri" w:cs="Calibri"/>
          <w:bCs/>
          <w:iCs/>
        </w:rPr>
        <w:lastRenderedPageBreak/>
        <w:br/>
        <w:t>Η σύμβαση θα ανατεθεί με το κριτήριο της πλέον συμφέρουσας από οικονομική άποψη προσφοράς,</w:t>
      </w:r>
      <w:r w:rsidRPr="00137E78">
        <w:rPr>
          <w:rFonts w:ascii="Calibri" w:hAnsi="Calibri" w:cs="Calibri"/>
          <w:bCs/>
          <w:iCs/>
        </w:rPr>
        <w:br/>
        <w:t>βάσει της τιμής.</w:t>
      </w:r>
    </w:p>
    <w:p w:rsidR="00BF6762" w:rsidRDefault="00BF6762">
      <w:bookmarkStart w:id="0" w:name="_GoBack"/>
      <w:bookmarkEnd w:id="0"/>
    </w:p>
    <w:sectPr w:rsidR="00BF6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altName w:val="Times New Roman"/>
    <w:panose1 w:val="00000000000000000000"/>
    <w:charset w:val="00"/>
    <w:family w:val="roman"/>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48"/>
    <w:rsid w:val="000A4548"/>
    <w:rsid w:val="00A6021E"/>
    <w:rsid w:val="00BF6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ACC9"/>
  <w15:chartTrackingRefBased/>
  <w15:docId w15:val="{C7338448-6430-4469-B143-456613F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11940</Characters>
  <Application>Microsoft Office Word</Application>
  <DocSecurity>0</DocSecurity>
  <Lines>99</Lines>
  <Paragraphs>28</Paragraphs>
  <ScaleCrop>false</ScaleCrop>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Κανδυλιώτη</dc:creator>
  <cp:keywords/>
  <dc:description/>
  <cp:lastModifiedBy>Μαρία Κανδυλιώτη</cp:lastModifiedBy>
  <cp:revision>2</cp:revision>
  <dcterms:created xsi:type="dcterms:W3CDTF">2021-07-08T13:50:00Z</dcterms:created>
  <dcterms:modified xsi:type="dcterms:W3CDTF">2021-07-08T13:51:00Z</dcterms:modified>
</cp:coreProperties>
</file>