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582516" w:rsidRDefault="00EC2E65" w:rsidP="007023DA">
      <w:pPr>
        <w:spacing w:after="120" w:line="360" w:lineRule="auto"/>
        <w:jc w:val="both"/>
        <w:rPr>
          <w:b/>
        </w:rPr>
      </w:pPr>
      <w:r w:rsidRPr="00582516">
        <w:rPr>
          <w:b/>
        </w:rPr>
        <w:t xml:space="preserve">ΕΙΔΙΚΟΙ ΟΡΟΙ </w:t>
      </w:r>
    </w:p>
    <w:p w:rsidR="003C3479" w:rsidRPr="003C3479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νάθεση </w:t>
      </w:r>
      <w:r w:rsidR="00B02D56" w:rsidRPr="00B02D56">
        <w:rPr>
          <w:rFonts w:eastAsia="Times New Roman" w:cstheme="minorHAnsi"/>
          <w:b/>
          <w:bCs/>
          <w:sz w:val="24"/>
          <w:szCs w:val="24"/>
          <w:lang w:eastAsia="el-GR"/>
        </w:rPr>
        <w:t>υπηρεσίας</w:t>
      </w:r>
      <w:r w:rsidR="00602C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κομμωτηρίου</w:t>
      </w:r>
      <w:r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3E03D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D21AAA">
        <w:rPr>
          <w:rFonts w:eastAsia="Times New Roman" w:cstheme="minorHAnsi"/>
          <w:b/>
          <w:bCs/>
          <w:sz w:val="24"/>
          <w:szCs w:val="24"/>
          <w:lang w:eastAsia="el-GR"/>
        </w:rPr>
        <w:t>225</w:t>
      </w:r>
      <w:r w:rsidR="003E03D4" w:rsidRPr="003E03D4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="00D21AAA">
        <w:rPr>
          <w:rFonts w:eastAsia="Times New Roman" w:cstheme="minorHAnsi"/>
          <w:b/>
          <w:bCs/>
          <w:sz w:val="24"/>
          <w:szCs w:val="24"/>
          <w:lang w:eastAsia="el-GR"/>
        </w:rPr>
        <w:t>81</w:t>
      </w:r>
      <w:r w:rsidR="009C350E" w:rsidRPr="003E03D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χωρίς ΦΠΑ και </w:t>
      </w:r>
      <w:r w:rsidR="00D21AAA">
        <w:rPr>
          <w:rFonts w:eastAsia="Times New Roman" w:cstheme="minorHAnsi"/>
          <w:b/>
          <w:bCs/>
          <w:sz w:val="24"/>
          <w:szCs w:val="24"/>
          <w:lang w:eastAsia="el-GR"/>
        </w:rPr>
        <w:t>280</w:t>
      </w:r>
      <w:r w:rsidR="00D35C32" w:rsidRPr="003E03D4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="00735A4D" w:rsidRPr="003E03D4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="009C350E" w:rsidRPr="003E03D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συμπεριλαμβανομένου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του Φ.Π.Α.</w:t>
      </w:r>
    </w:p>
    <w:p w:rsidR="00DE1F3F" w:rsidRPr="00C64196" w:rsidRDefault="0015217D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C64196">
        <w:rPr>
          <w:rFonts w:eastAsia="Times New Roman" w:cstheme="minorHAnsi"/>
          <w:b/>
          <w:bCs/>
          <w:sz w:val="24"/>
          <w:szCs w:val="24"/>
          <w:lang w:eastAsia="el-GR"/>
        </w:rPr>
        <w:t>Η π</w:t>
      </w:r>
      <w:proofErr w:type="spellStart"/>
      <w:r w:rsidRPr="00C64196">
        <w:rPr>
          <w:rFonts w:eastAsia="Times New Roman" w:cstheme="minorHAnsi"/>
          <w:b/>
          <w:bCs/>
          <w:sz w:val="24"/>
          <w:szCs w:val="24"/>
          <w:lang w:eastAsia="el-GR"/>
        </w:rPr>
        <w:t>ροσφορά</w:t>
      </w:r>
      <w:proofErr w:type="spellEnd"/>
      <w:r w:rsidRPr="00C6419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Pr="00C64196">
        <w:rPr>
          <w:rFonts w:eastAsia="Times New Roman" w:cstheme="minorHAnsi"/>
          <w:b/>
          <w:bCs/>
          <w:sz w:val="24"/>
          <w:szCs w:val="24"/>
          <w:lang w:eastAsia="el-GR"/>
        </w:rPr>
        <w:t>ισχύει</w:t>
      </w:r>
      <w:proofErr w:type="spellEnd"/>
      <w:r w:rsidRPr="00C6419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2A5B8C" w:rsidRPr="00C64196">
        <w:rPr>
          <w:rFonts w:eastAsia="Times New Roman" w:cstheme="minorHAnsi"/>
          <w:b/>
          <w:bCs/>
          <w:sz w:val="24"/>
          <w:szCs w:val="24"/>
          <w:lang w:eastAsia="el-GR"/>
        </w:rPr>
        <w:t>μέχρι</w:t>
      </w:r>
      <w:proofErr w:type="spellEnd"/>
      <w:r w:rsidR="002A5B8C" w:rsidRPr="00C6419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31</w:t>
      </w:r>
      <w:r w:rsidRPr="00C64196">
        <w:rPr>
          <w:rFonts w:eastAsia="Times New Roman" w:cstheme="minorHAnsi"/>
          <w:b/>
          <w:bCs/>
          <w:sz w:val="24"/>
          <w:szCs w:val="24"/>
          <w:lang w:eastAsia="el-GR"/>
        </w:rPr>
        <w:t>/</w:t>
      </w:r>
      <w:r w:rsidR="00B02D56" w:rsidRPr="00C64196">
        <w:rPr>
          <w:rFonts w:eastAsia="Times New Roman" w:cstheme="minorHAnsi"/>
          <w:b/>
          <w:bCs/>
          <w:sz w:val="24"/>
          <w:szCs w:val="24"/>
          <w:lang w:eastAsia="el-GR"/>
        </w:rPr>
        <w:t>12</w:t>
      </w:r>
      <w:r w:rsidRPr="00C64196">
        <w:rPr>
          <w:rFonts w:eastAsia="Times New Roman" w:cstheme="minorHAnsi"/>
          <w:b/>
          <w:bCs/>
          <w:sz w:val="24"/>
          <w:szCs w:val="24"/>
          <w:lang w:eastAsia="el-GR"/>
        </w:rPr>
        <w:t>/201</w:t>
      </w:r>
      <w:r w:rsidR="00735A4D" w:rsidRPr="00C64196">
        <w:rPr>
          <w:rFonts w:eastAsia="Times New Roman" w:cstheme="minorHAnsi"/>
          <w:b/>
          <w:bCs/>
          <w:sz w:val="24"/>
          <w:szCs w:val="24"/>
          <w:lang w:eastAsia="el-GR"/>
        </w:rPr>
        <w:t>8</w:t>
      </w:r>
      <w:r w:rsidRPr="00C6419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EC2E65" w:rsidRPr="00C64196" w:rsidRDefault="00EC2E65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C64196">
        <w:rPr>
          <w:lang w:val="el-GR"/>
        </w:rPr>
        <w:t xml:space="preserve">Θα προσφερθεί τιμή μονάδας </w:t>
      </w:r>
      <w:r w:rsidR="00602C08" w:rsidRPr="00C64196">
        <w:rPr>
          <w:lang w:val="el-GR"/>
        </w:rPr>
        <w:t>(</w:t>
      </w:r>
      <w:r w:rsidR="00C64196" w:rsidRPr="00C64196">
        <w:rPr>
          <w:lang w:val="el-GR"/>
        </w:rPr>
        <w:t>ανά κούρεμα</w:t>
      </w:r>
      <w:r w:rsidR="00602C08" w:rsidRPr="00C64196">
        <w:rPr>
          <w:lang w:val="el-GR"/>
        </w:rPr>
        <w:t xml:space="preserve">) </w:t>
      </w:r>
      <w:r w:rsidRPr="00C64196">
        <w:rPr>
          <w:lang w:val="el-GR"/>
        </w:rPr>
        <w:t xml:space="preserve">για </w:t>
      </w:r>
      <w:r w:rsidR="00B02D56" w:rsidRPr="00C64196">
        <w:rPr>
          <w:lang w:val="el-GR"/>
        </w:rPr>
        <w:t>την</w:t>
      </w:r>
      <w:r w:rsidRPr="00C64196">
        <w:rPr>
          <w:lang w:val="el-GR"/>
        </w:rPr>
        <w:t xml:space="preserve"> περιγραφόμεν</w:t>
      </w:r>
      <w:r w:rsidR="00B02D56" w:rsidRPr="00C64196">
        <w:rPr>
          <w:lang w:val="el-GR"/>
        </w:rPr>
        <w:t>η</w:t>
      </w:r>
      <w:r w:rsidRPr="00C64196">
        <w:rPr>
          <w:lang w:val="el-GR"/>
        </w:rPr>
        <w:t xml:space="preserve"> </w:t>
      </w:r>
      <w:r w:rsidR="00B02D56" w:rsidRPr="00C64196">
        <w:rPr>
          <w:lang w:val="el-GR"/>
        </w:rPr>
        <w:t>υπηρεσία.</w:t>
      </w:r>
    </w:p>
    <w:p w:rsidR="0015217D" w:rsidRPr="00C64196" w:rsidRDefault="0015217D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C64196">
        <w:rPr>
          <w:lang w:val="el-GR"/>
        </w:rPr>
        <w:t xml:space="preserve">Η κατακύρωση της προμήθειας θα γίνει στον προσφέροντα τη χαμηλότερη τιμή </w:t>
      </w:r>
      <w:r w:rsidR="00B02D56" w:rsidRPr="00C64196">
        <w:rPr>
          <w:lang w:val="el-GR"/>
        </w:rPr>
        <w:t>ανά μονάδα</w:t>
      </w:r>
      <w:r w:rsidR="00EF7568" w:rsidRPr="00C64196">
        <w:rPr>
          <w:lang w:val="el-GR"/>
        </w:rPr>
        <w:t xml:space="preserve"> </w:t>
      </w:r>
      <w:r w:rsidR="00C64196" w:rsidRPr="00C64196">
        <w:rPr>
          <w:lang w:val="el-GR"/>
        </w:rPr>
        <w:t xml:space="preserve">(ανά κούρεμα) </w:t>
      </w:r>
      <w:r w:rsidRPr="00C64196">
        <w:rPr>
          <w:lang w:val="el-GR"/>
        </w:rPr>
        <w:t xml:space="preserve">της </w:t>
      </w:r>
      <w:r w:rsidR="00EF7568" w:rsidRPr="00C64196">
        <w:rPr>
          <w:lang w:val="el-GR"/>
        </w:rPr>
        <w:t xml:space="preserve">ζητούμενης </w:t>
      </w:r>
      <w:r w:rsidRPr="00C64196">
        <w:rPr>
          <w:lang w:val="el-GR"/>
        </w:rPr>
        <w:t xml:space="preserve">προμήθειας. </w:t>
      </w:r>
    </w:p>
    <w:p w:rsidR="00D35C32" w:rsidRPr="00C64196" w:rsidRDefault="00D35C32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C64196">
        <w:rPr>
          <w:lang w:val="el-GR"/>
        </w:rPr>
        <w:t xml:space="preserve">Η </w:t>
      </w:r>
      <w:r w:rsidR="00B02D56" w:rsidRPr="00C64196">
        <w:rPr>
          <w:lang w:val="el-GR"/>
        </w:rPr>
        <w:t>πραγματοποίηση της υπηρεσίας</w:t>
      </w:r>
      <w:r w:rsidRPr="00C64196">
        <w:rPr>
          <w:lang w:val="el-GR"/>
        </w:rPr>
        <w:t xml:space="preserve"> </w:t>
      </w:r>
      <w:r w:rsidR="005428C6" w:rsidRPr="00C64196">
        <w:rPr>
          <w:lang w:val="el-GR"/>
        </w:rPr>
        <w:t>θα γίνεται στο κατάστημα του προμηθευτή</w:t>
      </w:r>
      <w:r w:rsidRPr="00C64196">
        <w:rPr>
          <w:lang w:val="el-GR"/>
        </w:rPr>
        <w:t xml:space="preserve"> τμηματικά, κατόπιν συνεννόησης με τη Δομή</w:t>
      </w:r>
      <w:r w:rsidR="005428C6" w:rsidRPr="00C64196">
        <w:rPr>
          <w:lang w:val="el-GR"/>
        </w:rPr>
        <w:t>.</w:t>
      </w:r>
    </w:p>
    <w:p w:rsidR="00417DF9" w:rsidRPr="00DF56AB" w:rsidRDefault="00417DF9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b/>
          <w:lang w:val="el-GR"/>
        </w:rPr>
      </w:pPr>
      <w:r w:rsidRPr="00DF56AB">
        <w:rPr>
          <w:b/>
          <w:lang w:val="el-GR"/>
        </w:rPr>
        <w:t>Οι ενδιαφερόμενοι θα πρέπει επί ποινής αποκλεισμού να διατηρούν επιχείρηση εντός του Δήμου στον οποίο βρίσκεται η εκάστοτε δομή, σύμφωνα με τον παρακάτω πίνακα, ή σε κάποιο πλησίον αυτού. Στην περίπτωση της Αθήνας (ΤΜΗΜΑ 7) η επιχείρηση δεν μπορεί να είναι σε απόσταση μεγαλύτερη των 2,5 χιλιομέτρων από την δομή.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3911"/>
      </w:tblGrid>
      <w:tr w:rsidR="00417DF9" w:rsidRPr="007632D9" w:rsidTr="008000AC">
        <w:trPr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06F49">
              <w:rPr>
                <w:rFonts w:ascii="Calibri" w:hAnsi="Calibri" w:cs="Calibri"/>
                <w:b/>
              </w:rPr>
              <w:t>ΔΟΜΗ ΦΙΛΟΞΕΝΙΑΣ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06F49">
              <w:rPr>
                <w:rFonts w:ascii="Calibri" w:hAnsi="Calibri" w:cs="Calibri"/>
                <w:b/>
              </w:rPr>
              <w:t>ΔΙΕΥΘΥΝΣΗ</w:t>
            </w:r>
          </w:p>
        </w:tc>
      </w:tr>
      <w:tr w:rsidR="00417DF9" w:rsidRPr="007632D9" w:rsidTr="008000AC">
        <w:trPr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Αθήνα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 xml:space="preserve">Μεγάλου Αλεξάνδρου 56, </w:t>
            </w:r>
            <w:proofErr w:type="spellStart"/>
            <w:r w:rsidRPr="00206F49">
              <w:rPr>
                <w:rFonts w:ascii="Calibri" w:hAnsi="Calibri" w:cs="Calibri"/>
              </w:rPr>
              <w:t>ΤΚ</w:t>
            </w:r>
            <w:proofErr w:type="spellEnd"/>
            <w:r w:rsidRPr="00206F49">
              <w:rPr>
                <w:rFonts w:ascii="Calibri" w:hAnsi="Calibri" w:cs="Calibri"/>
              </w:rPr>
              <w:t xml:space="preserve"> 10438 Μεταξουργείο Αθήνα</w:t>
            </w:r>
          </w:p>
        </w:tc>
      </w:tr>
    </w:tbl>
    <w:p w:rsidR="00417DF9" w:rsidRPr="00D35C32" w:rsidRDefault="00417DF9" w:rsidP="007023DA">
      <w:pPr>
        <w:spacing w:after="120" w:line="360" w:lineRule="auto"/>
        <w:jc w:val="both"/>
      </w:pPr>
    </w:p>
    <w:p w:rsidR="003F06C6" w:rsidRPr="00C64196" w:rsidRDefault="00EF7568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C64196">
        <w:rPr>
          <w:lang w:val="el-GR"/>
        </w:rPr>
        <w:t xml:space="preserve">Η </w:t>
      </w:r>
      <w:r w:rsidR="00C20E88" w:rsidRPr="00C64196">
        <w:rPr>
          <w:lang w:val="el-GR"/>
        </w:rPr>
        <w:t xml:space="preserve">προμήθεια </w:t>
      </w:r>
      <w:r w:rsidRPr="00C64196">
        <w:rPr>
          <w:lang w:val="el-GR"/>
        </w:rPr>
        <w:t xml:space="preserve">θα </w:t>
      </w:r>
      <w:r w:rsidR="00C20E88" w:rsidRPr="00C64196">
        <w:rPr>
          <w:lang w:val="el-GR"/>
        </w:rPr>
        <w:t>ολοκληρωθεί με</w:t>
      </w:r>
      <w:r w:rsidRPr="00C64196">
        <w:rPr>
          <w:lang w:val="el-GR"/>
        </w:rPr>
        <w:t xml:space="preserve"> την πλήρη εκτέλεση του φυσικού και </w:t>
      </w:r>
      <w:r w:rsidR="00C20E88" w:rsidRPr="00C64196">
        <w:rPr>
          <w:lang w:val="el-GR"/>
        </w:rPr>
        <w:t xml:space="preserve">οικονομικού αντικειμένου της. </w:t>
      </w:r>
    </w:p>
    <w:p w:rsidR="003F06C6" w:rsidRPr="00DF56AB" w:rsidRDefault="00EC2E65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DF56AB">
        <w:rPr>
          <w:lang w:val="el-GR"/>
        </w:rPr>
        <w:t xml:space="preserve">Η </w:t>
      </w:r>
      <w:proofErr w:type="spellStart"/>
      <w:r w:rsidR="003F06C6" w:rsidRPr="00DF56AB">
        <w:rPr>
          <w:lang w:val="el-GR"/>
        </w:rPr>
        <w:t>ΑΡΣΙΣ</w:t>
      </w:r>
      <w:proofErr w:type="spellEnd"/>
      <w:r w:rsidR="003F06C6" w:rsidRPr="00DF56AB">
        <w:rPr>
          <w:lang w:val="el-GR"/>
        </w:rPr>
        <w:t xml:space="preserve"> </w:t>
      </w:r>
      <w:r w:rsidRPr="00DF56AB">
        <w:rPr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DF56AB">
        <w:rPr>
          <w:lang w:val="el-GR"/>
        </w:rPr>
        <w:t xml:space="preserve">διακόψει </w:t>
      </w:r>
      <w:r w:rsidR="00D91520" w:rsidRPr="00DF56AB">
        <w:rPr>
          <w:lang w:val="el-GR"/>
        </w:rPr>
        <w:t xml:space="preserve">οποτεδήποτε και </w:t>
      </w:r>
      <w:r w:rsidR="003F06C6" w:rsidRPr="00DF56AB">
        <w:rPr>
          <w:lang w:val="el-GR"/>
        </w:rPr>
        <w:t xml:space="preserve">μονομερώς </w:t>
      </w:r>
      <w:r w:rsidRPr="00DF56AB">
        <w:rPr>
          <w:lang w:val="el-GR"/>
        </w:rPr>
        <w:t>την προμήθεια</w:t>
      </w:r>
      <w:r w:rsidR="003F06C6" w:rsidRPr="00DF56AB">
        <w:rPr>
          <w:lang w:val="el-GR"/>
        </w:rPr>
        <w:t xml:space="preserve">, ανάλογα με τις ανάγκες της. Στην περίπτωση αυτή Ο ΠΡΟΜΗΘΕΥΤΗΣ δεν έχει δικαίωμα να απαιτήσει </w:t>
      </w:r>
      <w:r w:rsidR="003F06C6" w:rsidRPr="00C64196">
        <w:rPr>
          <w:lang w:val="el-GR"/>
        </w:rPr>
        <w:t>την</w:t>
      </w:r>
      <w:r w:rsidR="003F06C6" w:rsidRPr="00DF56AB">
        <w:rPr>
          <w:lang w:val="el-GR"/>
        </w:rPr>
        <w:t xml:space="preserve"> εκτέλεση της </w:t>
      </w:r>
      <w:r w:rsidR="00E4771B" w:rsidRPr="00DF56AB">
        <w:rPr>
          <w:lang w:val="el-GR"/>
        </w:rPr>
        <w:t>προμήθειας</w:t>
      </w:r>
      <w:r w:rsidR="003F06C6" w:rsidRPr="00DF56AB">
        <w:rPr>
          <w:lang w:val="el-GR"/>
        </w:rPr>
        <w:t xml:space="preserve"> μέχρι την κάλυψη του συνολικού προϋπολογισμού της. </w:t>
      </w:r>
    </w:p>
    <w:p w:rsidR="003D1D22" w:rsidRPr="00DF56AB" w:rsidRDefault="003D1D22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DF56AB">
        <w:rPr>
          <w:lang w:val="el-GR"/>
        </w:rPr>
        <w:t xml:space="preserve">Η σύμβαση προμήθειας μπορεί να τροποποιηθεί κατόπιν αιτήματος της </w:t>
      </w:r>
      <w:proofErr w:type="spellStart"/>
      <w:r w:rsidRPr="00DF56AB">
        <w:rPr>
          <w:lang w:val="el-GR"/>
        </w:rPr>
        <w:t>ΑΡΣΙΣ</w:t>
      </w:r>
      <w:proofErr w:type="spellEnd"/>
      <w:r w:rsidRPr="00DF56AB">
        <w:rPr>
          <w:lang w:val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:rsidR="0048698D" w:rsidRPr="00DF56AB" w:rsidRDefault="00EC2E65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DF56AB">
        <w:rPr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DF56AB" w:rsidRDefault="000E0786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b/>
          <w:lang w:val="el-GR"/>
        </w:rPr>
      </w:pPr>
      <w:r w:rsidRPr="00DF56AB">
        <w:rPr>
          <w:b/>
          <w:lang w:val="el-GR"/>
        </w:rPr>
        <w:t xml:space="preserve">Η </w:t>
      </w:r>
      <w:proofErr w:type="spellStart"/>
      <w:r w:rsidRPr="00DF56AB">
        <w:rPr>
          <w:b/>
          <w:lang w:val="el-GR"/>
        </w:rPr>
        <w:t>ΑΡΣΙΣ</w:t>
      </w:r>
      <w:proofErr w:type="spellEnd"/>
      <w:r w:rsidRPr="00DF56AB">
        <w:rPr>
          <w:b/>
          <w:lang w:val="el-GR"/>
        </w:rPr>
        <w:t xml:space="preserve"> θα καταβάλλει την αξία </w:t>
      </w:r>
      <w:r w:rsidR="00B02D56" w:rsidRPr="00DF56AB">
        <w:rPr>
          <w:b/>
          <w:lang w:val="el-GR"/>
        </w:rPr>
        <w:t>της υπηρεσίας</w:t>
      </w:r>
      <w:r w:rsidRPr="00DF56AB">
        <w:rPr>
          <w:b/>
          <w:lang w:val="el-GR"/>
        </w:rPr>
        <w:t xml:space="preserve">, που θα </w:t>
      </w:r>
      <w:r w:rsidR="00B02D56" w:rsidRPr="00DF56AB">
        <w:rPr>
          <w:b/>
          <w:lang w:val="el-GR"/>
        </w:rPr>
        <w:t>πραγματοποιηθεί</w:t>
      </w:r>
      <w:r w:rsidRPr="00DF56AB">
        <w:rPr>
          <w:b/>
          <w:lang w:val="el-GR"/>
        </w:rPr>
        <w:t xml:space="preserve"> στα πλαίσια της παρούσας πρόσκλησης </w:t>
      </w:r>
      <w:r w:rsidR="00D21AAA">
        <w:rPr>
          <w:b/>
          <w:lang w:val="el-GR"/>
        </w:rPr>
        <w:t>έως τις 31/12/2018</w:t>
      </w:r>
      <w:r w:rsidRPr="00DF56AB">
        <w:rPr>
          <w:b/>
          <w:lang w:val="el-GR"/>
        </w:rPr>
        <w:t xml:space="preserve"> ύστερα από την </w:t>
      </w:r>
      <w:r w:rsidR="00B02D56" w:rsidRPr="00DF56AB">
        <w:rPr>
          <w:b/>
          <w:lang w:val="el-GR"/>
        </w:rPr>
        <w:t xml:space="preserve">πραγματοποίηση της </w:t>
      </w:r>
      <w:r w:rsidR="00B02D56" w:rsidRPr="00DF56AB">
        <w:rPr>
          <w:b/>
          <w:lang w:val="el-GR"/>
        </w:rPr>
        <w:lastRenderedPageBreak/>
        <w:t xml:space="preserve">προμήθειας </w:t>
      </w:r>
      <w:r w:rsidRPr="00DF56AB">
        <w:rPr>
          <w:b/>
          <w:lang w:val="el-GR"/>
        </w:rPr>
        <w:t xml:space="preserve">και την έκδοση από τον προμηθευτή των παρακάτω δικαιολογητικών πληρωμής: </w:t>
      </w:r>
    </w:p>
    <w:p w:rsidR="006722C5" w:rsidRPr="003F5E36" w:rsidRDefault="006722C5" w:rsidP="006722C5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l-GR"/>
        </w:rPr>
      </w:pPr>
      <w:r w:rsidRPr="003F5E36">
        <w:rPr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επιβαρύνσεις,</w:t>
      </w:r>
    </w:p>
    <w:p w:rsidR="006722C5" w:rsidRPr="003F5E36" w:rsidRDefault="006722C5" w:rsidP="006722C5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l-GR"/>
        </w:rPr>
      </w:pPr>
      <w:r w:rsidRPr="003F5E36">
        <w:rPr>
          <w:lang w:val="el-GR"/>
        </w:rPr>
        <w:t>Βεβαίωση μη οφειλής ασφαλιστικής ενημερότητας, σε ισχύ (για ασφαλιστικές εισφορές του προσωπικού),</w:t>
      </w:r>
    </w:p>
    <w:p w:rsidR="006722C5" w:rsidRPr="003F5E36" w:rsidRDefault="006722C5" w:rsidP="006722C5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l-GR"/>
        </w:rPr>
      </w:pPr>
      <w:r w:rsidRPr="003F5E36">
        <w:rPr>
          <w:lang w:val="el-GR"/>
        </w:rPr>
        <w:t>Υπεύθυνη δήλωση του νόμου 1599/86 με την οποία ο ανάδοχος δηλώνει σε ποιους ασφαλιστικούς φορείς καταβάλει προσωπικές ασφαλιστικές εισφορές για τον ίδιο,</w:t>
      </w:r>
    </w:p>
    <w:p w:rsidR="006722C5" w:rsidRPr="006722C5" w:rsidRDefault="006722C5" w:rsidP="006722C5">
      <w:pPr>
        <w:pStyle w:val="a3"/>
        <w:numPr>
          <w:ilvl w:val="0"/>
          <w:numId w:val="6"/>
        </w:numPr>
        <w:spacing w:after="120" w:line="360" w:lineRule="auto"/>
        <w:jc w:val="both"/>
        <w:rPr>
          <w:rFonts w:cstheme="minorHAnsi"/>
          <w:lang w:val="el-GR"/>
        </w:rPr>
      </w:pPr>
      <w:r w:rsidRPr="006722C5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του: </w:t>
      </w:r>
    </w:p>
    <w:p w:rsidR="006722C5" w:rsidRPr="003B7051" w:rsidRDefault="006722C5" w:rsidP="006722C5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α) ο ΦΠΑ και οι νόμιμες κρατήσεις όπως αυτές ισχύουν κατά την ημέρα  υπογραφής της σύμβασης.</w:t>
      </w:r>
    </w:p>
    <w:p w:rsidR="006722C5" w:rsidRPr="003B7051" w:rsidRDefault="006722C5" w:rsidP="006722C5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>β)</w:t>
      </w:r>
      <w:r w:rsidRPr="003B7051">
        <w:rPr>
          <w:rFonts w:eastAsia="MS Gothic" w:cstheme="minorHAnsi"/>
          <w:lang w:val="el-GR"/>
        </w:rPr>
        <w:t xml:space="preserve"> τ</w:t>
      </w:r>
      <w:r w:rsidRPr="003B7051">
        <w:rPr>
          <w:rFonts w:cstheme="minorHAnsi"/>
          <w:lang w:val="el-GR"/>
        </w:rPr>
        <w:t>α πάσης φύσεως ασφάλιστρα για το προσωπικό του, οι δαπάνες των μέτρων προστασίας και πρόληψης ατυχημάτων εργαζομένων ή τρίτων, της αποφυγής βλαβών σε κινητά ή ακίνητα πράγματα τρίτων.</w:t>
      </w:r>
    </w:p>
    <w:p w:rsidR="006722C5" w:rsidRPr="003B7051" w:rsidRDefault="006722C5" w:rsidP="006722C5">
      <w:pPr>
        <w:pStyle w:val="a3"/>
        <w:shd w:val="clear" w:color="auto" w:fill="FFFFFF"/>
        <w:spacing w:after="120" w:line="360" w:lineRule="auto"/>
        <w:ind w:left="1440"/>
        <w:jc w:val="both"/>
        <w:textAlignment w:val="baseline"/>
        <w:rPr>
          <w:rFonts w:cstheme="minorHAnsi"/>
          <w:lang w:val="el-GR"/>
        </w:rPr>
      </w:pPr>
      <w:r w:rsidRPr="003B7051">
        <w:rPr>
          <w:rFonts w:cstheme="minorHAnsi"/>
          <w:lang w:val="el-GR"/>
        </w:rPr>
        <w:t xml:space="preserve">γ) τα υλικά που θα χρησιμοποιηθούν, οι δαπάνες μεταφορές, τα μεταφορικά μέσα, τα μηχανήματα και εργαλεία που θα χρησιμοποιήσει για τις ανάγκες εκτέλεσης της ζητούμενης υπηρεσίας </w:t>
      </w:r>
    </w:p>
    <w:p w:rsidR="00EC2E65" w:rsidRPr="006722C5" w:rsidRDefault="006722C5" w:rsidP="006722C5">
      <w:pPr>
        <w:pStyle w:val="a3"/>
        <w:numPr>
          <w:ilvl w:val="0"/>
          <w:numId w:val="6"/>
        </w:numPr>
        <w:spacing w:after="120" w:line="360" w:lineRule="auto"/>
        <w:jc w:val="both"/>
        <w:rPr>
          <w:rFonts w:cstheme="minorHAnsi"/>
          <w:lang w:val="el-GR"/>
        </w:rPr>
      </w:pPr>
      <w:r w:rsidRPr="006722C5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</w:t>
      </w:r>
      <w:bookmarkStart w:id="0" w:name="_GoBack"/>
      <w:bookmarkEnd w:id="0"/>
      <w:r w:rsidRPr="006722C5">
        <w:rPr>
          <w:rFonts w:cstheme="minorHAnsi"/>
          <w:lang w:val="el-GR"/>
        </w:rPr>
        <w:t>ιον από αυτούς.</w:t>
      </w:r>
    </w:p>
    <w:sectPr w:rsidR="00EC2E65" w:rsidRPr="006722C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78" w:rsidRDefault="00451378" w:rsidP="00C82E32">
      <w:pPr>
        <w:spacing w:after="0" w:line="240" w:lineRule="auto"/>
      </w:pPr>
      <w:r>
        <w:separator/>
      </w:r>
    </w:p>
  </w:endnote>
  <w:endnote w:type="continuationSeparator" w:id="0">
    <w:p w:rsidR="00451378" w:rsidRDefault="0045137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78" w:rsidRDefault="00451378" w:rsidP="00C82E32">
      <w:pPr>
        <w:spacing w:after="0" w:line="240" w:lineRule="auto"/>
      </w:pPr>
      <w:r>
        <w:separator/>
      </w:r>
    </w:p>
  </w:footnote>
  <w:footnote w:type="continuationSeparator" w:id="0">
    <w:p w:rsidR="00451378" w:rsidRDefault="00451378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A6798">
    <w:pPr>
      <w:pStyle w:val="a5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8AF"/>
    <w:multiLevelType w:val="hybridMultilevel"/>
    <w:tmpl w:val="277C271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7E574E"/>
    <w:multiLevelType w:val="hybridMultilevel"/>
    <w:tmpl w:val="9C722F0A"/>
    <w:lvl w:ilvl="0" w:tplc="167E59B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A36D4"/>
    <w:multiLevelType w:val="hybridMultilevel"/>
    <w:tmpl w:val="42C4A600"/>
    <w:lvl w:ilvl="0" w:tplc="167E59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6E47"/>
    <w:multiLevelType w:val="hybridMultilevel"/>
    <w:tmpl w:val="B76A0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45CD"/>
    <w:multiLevelType w:val="hybridMultilevel"/>
    <w:tmpl w:val="FDEC01B2"/>
    <w:lvl w:ilvl="0" w:tplc="167E59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7965"/>
    <w:multiLevelType w:val="hybridMultilevel"/>
    <w:tmpl w:val="CB10B2F8"/>
    <w:lvl w:ilvl="0" w:tplc="63DC8D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36F5"/>
    <w:multiLevelType w:val="hybridMultilevel"/>
    <w:tmpl w:val="2146D5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D1455"/>
    <w:multiLevelType w:val="hybridMultilevel"/>
    <w:tmpl w:val="5A68A7D8"/>
    <w:lvl w:ilvl="0" w:tplc="04080017">
      <w:start w:val="1"/>
      <w:numFmt w:val="lowerLetter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23D74"/>
    <w:rsid w:val="00047D9E"/>
    <w:rsid w:val="00051D06"/>
    <w:rsid w:val="00085088"/>
    <w:rsid w:val="000B1ADB"/>
    <w:rsid w:val="000E0786"/>
    <w:rsid w:val="0015217D"/>
    <w:rsid w:val="00152346"/>
    <w:rsid w:val="001B3B8F"/>
    <w:rsid w:val="001F25A1"/>
    <w:rsid w:val="002160E1"/>
    <w:rsid w:val="002302A6"/>
    <w:rsid w:val="00276418"/>
    <w:rsid w:val="002A5B8C"/>
    <w:rsid w:val="002B5D76"/>
    <w:rsid w:val="00302534"/>
    <w:rsid w:val="00321EE3"/>
    <w:rsid w:val="003239D2"/>
    <w:rsid w:val="00332246"/>
    <w:rsid w:val="0036153E"/>
    <w:rsid w:val="003A4CB0"/>
    <w:rsid w:val="003C3479"/>
    <w:rsid w:val="003D1D22"/>
    <w:rsid w:val="003E03D4"/>
    <w:rsid w:val="003E33AA"/>
    <w:rsid w:val="003F06C6"/>
    <w:rsid w:val="00417DF9"/>
    <w:rsid w:val="00427633"/>
    <w:rsid w:val="004412CC"/>
    <w:rsid w:val="00451378"/>
    <w:rsid w:val="00460318"/>
    <w:rsid w:val="0048698D"/>
    <w:rsid w:val="004A46B3"/>
    <w:rsid w:val="004C61E5"/>
    <w:rsid w:val="005162E9"/>
    <w:rsid w:val="005428C6"/>
    <w:rsid w:val="005465AD"/>
    <w:rsid w:val="005527E2"/>
    <w:rsid w:val="00560BBC"/>
    <w:rsid w:val="00582516"/>
    <w:rsid w:val="005A1261"/>
    <w:rsid w:val="005B692A"/>
    <w:rsid w:val="005C6DED"/>
    <w:rsid w:val="005D414A"/>
    <w:rsid w:val="005E0EAB"/>
    <w:rsid w:val="005E5007"/>
    <w:rsid w:val="005E7C94"/>
    <w:rsid w:val="00602C08"/>
    <w:rsid w:val="0066507A"/>
    <w:rsid w:val="006722C5"/>
    <w:rsid w:val="00693B75"/>
    <w:rsid w:val="006B2C32"/>
    <w:rsid w:val="006C3478"/>
    <w:rsid w:val="006E6424"/>
    <w:rsid w:val="006F792F"/>
    <w:rsid w:val="007023DA"/>
    <w:rsid w:val="00710FC5"/>
    <w:rsid w:val="007315B8"/>
    <w:rsid w:val="00735A4D"/>
    <w:rsid w:val="00737190"/>
    <w:rsid w:val="007602CD"/>
    <w:rsid w:val="007C14B9"/>
    <w:rsid w:val="007C7961"/>
    <w:rsid w:val="007E6584"/>
    <w:rsid w:val="00822323"/>
    <w:rsid w:val="00834B4C"/>
    <w:rsid w:val="00837F16"/>
    <w:rsid w:val="008B3ABA"/>
    <w:rsid w:val="008D393B"/>
    <w:rsid w:val="008D51AF"/>
    <w:rsid w:val="008E72F5"/>
    <w:rsid w:val="00925EB1"/>
    <w:rsid w:val="00944396"/>
    <w:rsid w:val="00967F46"/>
    <w:rsid w:val="0099228A"/>
    <w:rsid w:val="009C350E"/>
    <w:rsid w:val="009E28BE"/>
    <w:rsid w:val="00A07FB4"/>
    <w:rsid w:val="00A336AB"/>
    <w:rsid w:val="00A64AFA"/>
    <w:rsid w:val="00AD423B"/>
    <w:rsid w:val="00AE1908"/>
    <w:rsid w:val="00B02D56"/>
    <w:rsid w:val="00B35611"/>
    <w:rsid w:val="00B61445"/>
    <w:rsid w:val="00B633C8"/>
    <w:rsid w:val="00B76560"/>
    <w:rsid w:val="00BB3991"/>
    <w:rsid w:val="00BC5BBC"/>
    <w:rsid w:val="00C20E88"/>
    <w:rsid w:val="00C41ABF"/>
    <w:rsid w:val="00C47E9E"/>
    <w:rsid w:val="00C64196"/>
    <w:rsid w:val="00C82E32"/>
    <w:rsid w:val="00CA6798"/>
    <w:rsid w:val="00CD7019"/>
    <w:rsid w:val="00CE7508"/>
    <w:rsid w:val="00CF3A64"/>
    <w:rsid w:val="00D21AAA"/>
    <w:rsid w:val="00D2760B"/>
    <w:rsid w:val="00D35C32"/>
    <w:rsid w:val="00D91520"/>
    <w:rsid w:val="00DD59FB"/>
    <w:rsid w:val="00DE1F3F"/>
    <w:rsid w:val="00DF56AB"/>
    <w:rsid w:val="00E061D8"/>
    <w:rsid w:val="00E327AE"/>
    <w:rsid w:val="00E33DE5"/>
    <w:rsid w:val="00E37B36"/>
    <w:rsid w:val="00E4771B"/>
    <w:rsid w:val="00E52994"/>
    <w:rsid w:val="00EB4E90"/>
    <w:rsid w:val="00EC25C9"/>
    <w:rsid w:val="00EC2E65"/>
    <w:rsid w:val="00EC52FB"/>
    <w:rsid w:val="00EC5371"/>
    <w:rsid w:val="00ED35FD"/>
    <w:rsid w:val="00EF7568"/>
    <w:rsid w:val="00F04055"/>
    <w:rsid w:val="00F1666D"/>
    <w:rsid w:val="00F44940"/>
    <w:rsid w:val="00F86D2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7C6C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19</cp:revision>
  <dcterms:created xsi:type="dcterms:W3CDTF">2018-02-02T15:11:00Z</dcterms:created>
  <dcterms:modified xsi:type="dcterms:W3CDTF">2018-11-29T14:55:00Z</dcterms:modified>
</cp:coreProperties>
</file>